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المكشوح المرادي
</w:t>
      </w:r>
    </w:p>
    <w:p>
      <w:pPr>
        <w:jc w:val="start"/>
        <w:bidi/>
      </w:pPr>
      <w:r>
        <w:rPr>
          <w:rFonts w:ascii="arial" w:hAnsi="arial" w:eastAsia="arial" w:cs="arial"/>
          <w:sz w:val="28"/>
          <w:szCs w:val="28"/>
          <w:b w:val="1"/>
          <w:bCs w:val="1"/>
          <w:rtl/>
        </w:rPr>
        <w:t xml:space="preserve">المكشوح المرادي
</w:t>
      </w:r>
    </w:p>
    <w:p>
      <w:pPr/>
      <w:r>
        <w:rPr/>
        <w:t xml:space="preserve">المكشوح المرادي  هبيرة (المكشوح) بن هلال (او عبد يغوث) البجلي نسبا المرادي حلفا: رئيس يماني من الشجعان. كان قبيل الاسلام. وعده ابن حبيب من (الجرارين في اليمن) والجرار من يرأس الفا. ولقب بالمكشوح لانه ضرب بسيف على كشحه. وهو أبو الصحابي (قيس بن هبيرة) المتقدمة ترجمته وفيها اشارة إلى الخلاف في رجال نسبه. </w:t>
      </w:r>
    </w:p>
    <w:p>
      <w:pPr>
        <w:jc w:val="start"/>
        <w:bidi/>
      </w:pPr>
      <w:r>
        <w:rPr>
          <w:sz w:val="24"/>
          <w:szCs w:val="24"/>
          <w:b w:val="1"/>
          <w:bCs w:val="1"/>
          <w:rtl/>
        </w:rPr>
        <w:t xml:space="preserve">
الأعلام،(دار العلم للملايين - بيروت،2002،ط 15،ج 8،ص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2026-10-09T17:37:04+03:00</dcterms:created>
  <dcterms:modified xsi:type="dcterms:W3CDTF">2026-10-09T17:37:04+03:00</dcterms:modified>
</cp:coreProperties>
</file>

<file path=docProps/custom.xml><?xml version="1.0" encoding="utf-8"?>
<Properties xmlns="http://schemas.openxmlformats.org/officeDocument/2006/custom-properties" xmlns:vt="http://schemas.openxmlformats.org/officeDocument/2006/docPropsVTypes"/>
</file>