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الكلحبة
</w:t>
      </w:r>
    </w:p>
    <w:p>
      <w:pPr>
        <w:jc w:val="start"/>
        <w:bidi/>
      </w:pPr>
      <w:r>
        <w:rPr>
          <w:rFonts w:ascii="arial" w:hAnsi="arial" w:eastAsia="arial" w:cs="arial"/>
          <w:sz w:val="28"/>
          <w:szCs w:val="28"/>
          <w:b w:val="1"/>
          <w:bCs w:val="1"/>
          <w:rtl/>
        </w:rPr>
        <w:t xml:space="preserve">الكلحبة
</w:t>
      </w:r>
    </w:p>
    <w:p>
      <w:pPr/>
      <w:r>
        <w:rPr/>
        <w:t xml:space="preserve">الكلحبة  هبيرة بن (عبد الله بن) عبد مناف بن عرين التميمي اليربوعي العريني: شاعر جاهلي، من فرسان تميم وساداتها. يقال له (فارس العرادة) وهي فرسه. ويعرف بالكلحبة (ومعناه: صوت النار ولهيبها) وهو القائل في بدء قصيدة:</w:t>
      </w:r>
    </w:p>
    <w:p/>
    <w:p>
      <w:pPr>
        <w:jc w:val="center"/>
      </w:pPr>
      <w:r>
        <w:rPr>
          <w:color w:val="ff0000"/>
        </w:rPr>
        <w:t xml:space="preserve">امرتهم امري بمنعرج اللوي</w:t>
      </w:r>
      <w:r>
        <w:rPr>
          <w:color w:val="ff0000"/>
        </w:rPr>
        <w:t xml:space="preserve">      </w:t>
      </w:r>
      <w:r>
        <w:rPr>
          <w:color w:val="ff0000"/>
        </w:rPr>
        <w:t xml:space="preserve">ولا رأى للمعصي الا مضيعا</w:t>
      </w:r>
    </w:p>
    <w:p/>
    <w:p>
      <w:pPr>
        <w:jc w:val="center"/>
      </w:pPr>
      <w:r>
        <w:rPr>
          <w:color w:val="ff0000"/>
        </w:rPr>
        <w:t xml:space="preserve">فقلت لكأس: ألجميها، فإنما</w:t>
      </w:r>
      <w:r>
        <w:rPr>
          <w:color w:val="ff0000"/>
        </w:rPr>
        <w:t xml:space="preserve">      </w:t>
      </w:r>
      <w:r>
        <w:rPr>
          <w:color w:val="ff0000"/>
        </w:rPr>
        <w:t xml:space="preserve">حللت الكئيب، من زرود، لا فزعا</w:t>
      </w:r>
    </w:p>
    <w:p/>
    <w:p>
      <w:pPr/>
      <w:r>
        <w:rPr/>
        <w:t xml:space="preserve">قال المبرد: كأس، اسم جارية؛ ولا فزع (بفتح الهمزة والزاي): لأغيث. قلت: ولا يزال (فزع) له، بمعنى انجده، دارجا على السنة على السنة العامة في اكثر بلاد العرب. ومن اخبار الكحلبة انه جاور بني (بلى) القضاعيين، فأغار عليهم بنو جشم بن بكر التغلبيون، واخذوا اموالهم، فقاتل الكحلبة وابن له، وجرح ابنه ومات من جراحه. وله في ذلك شعر. والنسابون مختلفون في اسم ابيه: عبد مناف، ام عبد الله بن عبد مناف؟ وكثير منهم يجعله (العرني) بضم العين وفتح الراء، نسبة إلى (عرينة) من قضاعة او من بجيلة، وصححه المحققون بلفظ (العريني) مفتوح العين مكسور الراء، نسبة إلى (عرين) من بني يربوع، من تميم.</w:t>
      </w:r>
    </w:p>
    <w:p>
      <w:pPr>
        <w:jc w:val="start"/>
        <w:bidi/>
      </w:pPr>
      <w:r>
        <w:rPr>
          <w:sz w:val="24"/>
          <w:szCs w:val="24"/>
          <w:b w:val="1"/>
          <w:bCs w:val="1"/>
          <w:rtl/>
        </w:rPr>
        <w:t xml:space="preserve">
الأعلام،(دار العلم للملايين - بيروت،2002،ط 15،ج 8،ص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2026-10-09T17:32:32+03:00</dcterms:created>
  <dcterms:modified xsi:type="dcterms:W3CDTF">2026-10-09T17:32:32+03:00</dcterms:modified>
</cp:coreProperties>
</file>

<file path=docProps/custom.xml><?xml version="1.0" encoding="utf-8"?>
<Properties xmlns="http://schemas.openxmlformats.org/officeDocument/2006/custom-properties" xmlns:vt="http://schemas.openxmlformats.org/officeDocument/2006/docPropsVTypes"/>
</file>