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فلايشر
</w:t>
      </w:r>
    </w:p>
    <w:p>
      <w:pPr>
        <w:jc w:val="start"/>
        <w:bidi/>
      </w:pPr>
      <w:r>
        <w:rPr>
          <w:rFonts w:ascii="arial" w:hAnsi="arial" w:eastAsia="arial" w:cs="arial"/>
          <w:sz w:val="28"/>
          <w:szCs w:val="28"/>
          <w:b w:val="1"/>
          <w:bCs w:val="1"/>
          <w:rtl/>
        </w:rPr>
        <w:t xml:space="preserve">فلايشر
</w:t>
      </w:r>
    </w:p>
    <w:p>
      <w:pPr/>
      <w:r>
        <w:rPr/>
        <w:t xml:space="preserve">فلايشر  هاينريخ لبرخت وفي الاغريقية اللاتينية ارطوبيوس فليشر Heinrich Lebrecht، en greco-latin Orthobius، Fleischer (Schandau) مستشرق الماني. ولد في شانداو (Schandau) وتعلم في بوتزن، ثم في ليبسيك، فباريس (1824) وبها استكمل دراسته في اللغات الشرقية. واخذ عن دي ساسي وبرسفال. وعاد إلى المانية (سنة 1828) فدرس في جامعة ليبسيك نحو خمسين عاما. له بالالمانية تآليف كثيرة، عن العرب والاسلام. ومما نشره بالعربية (تاريخ أبي الفداء) مع ترجمة المانية، و (فهرست المخطوطات الشرقية المحفوظة في خزانة درسدن) و (تفسير البيضاوي) و (المفصل) للزمخشري، والجزء السادس من (النجوم الزاهرة) لابن تغرى بردى، و (مراصد الاطلاع) لابن عبد الحق. </w:t>
      </w:r>
    </w:p>
    <w:p>
      <w:pPr>
        <w:jc w:val="start"/>
        <w:bidi/>
      </w:pPr>
      <w:r>
        <w:rPr>
          <w:sz w:val="24"/>
          <w:szCs w:val="24"/>
          <w:b w:val="1"/>
          <w:bCs w:val="1"/>
          <w:rtl/>
        </w:rPr>
        <w:t xml:space="preserve">
الأعلام،(دار العلم للملايين - بيروت،2002،ط 15،ج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2026-10-09T15:36:03+03:00</dcterms:created>
  <dcterms:modified xsi:type="dcterms:W3CDTF">2026-10-09T15:36:03+03:00</dcterms:modified>
</cp:coreProperties>
</file>

<file path=docProps/custom.xml><?xml version="1.0" encoding="utf-8"?>
<Properties xmlns="http://schemas.openxmlformats.org/officeDocument/2006/custom-properties" xmlns:vt="http://schemas.openxmlformats.org/officeDocument/2006/docPropsVTypes"/>
</file>