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الشامي
</w:t>
      </w:r>
    </w:p>
    <w:p>
      <w:pPr>
        <w:jc w:val="start"/>
        <w:bidi/>
      </w:pPr>
      <w:r>
        <w:rPr>
          <w:rFonts w:ascii="arial" w:hAnsi="arial" w:eastAsia="arial" w:cs="arial"/>
          <w:sz w:val="28"/>
          <w:szCs w:val="28"/>
          <w:b w:val="1"/>
          <w:bCs w:val="1"/>
          <w:rtl/>
        </w:rPr>
        <w:t xml:space="preserve">الشامي
</w:t>
      </w:r>
    </w:p>
    <w:p>
      <w:pPr/>
      <w:r>
        <w:rPr/>
        <w:t xml:space="preserve">الشامي  هاشم بن يحيى بن أحمد، من نسل الامام الهادي يحيى بن الحسين الحسني العلوي، المعروف بالشامي اليمني: فقيه، من أعيان الزيدية وأدبائهم. له شعر رقيق، منه قوله:</w:t>
      </w:r>
    </w:p>
    <w:p/>
    <w:p>
      <w:pPr>
        <w:jc w:val="center"/>
      </w:pPr>
      <w:r>
        <w:rPr>
          <w:color w:val="ff0000"/>
        </w:rPr>
        <w:t xml:space="preserve"> وإذا القلب على الحب انطوى</w:t>
      </w:r>
      <w:r>
        <w:rPr>
          <w:color w:val="ff0000"/>
        </w:rPr>
        <w:t xml:space="preserve">      </w:t>
      </w:r>
      <w:r>
        <w:rPr>
          <w:color w:val="ff0000"/>
        </w:rPr>
        <w:t xml:space="preserve">فاشتراط القرب واللقيا غريب</w:t>
      </w:r>
    </w:p>
    <w:p/>
    <w:p>
      <w:pPr/>
      <w:r>
        <w:rPr/>
        <w:t xml:space="preserve">وقوله:</w:t>
      </w:r>
    </w:p>
    <w:p/>
    <w:p>
      <w:pPr>
        <w:jc w:val="center"/>
      </w:pPr>
      <w:r>
        <w:rPr>
          <w:color w:val="ff0000"/>
        </w:rPr>
        <w:t xml:space="preserve">لم يبكني جور الغرام، ولا شجى</w:t>
      </w:r>
      <w:r>
        <w:rPr>
          <w:color w:val="ff0000"/>
        </w:rPr>
        <w:t xml:space="preserve">      </w:t>
      </w:r>
      <w:r>
        <w:rPr>
          <w:color w:val="ff0000"/>
        </w:rPr>
        <w:t xml:space="preserve">قلبي المتيم بلبل بسجوعه</w:t>
      </w:r>
    </w:p>
    <w:p/>
    <w:p>
      <w:pPr/>
      <w:r>
        <w:rPr/>
        <w:t xml:space="preserve">#لكنه: وعد الخيال بوصلهـ ، طرفي، فرش طريقه بدموعهمولده بحدة، وتعلمه وسكنه وموته بصنعاء. ولي قضاءها أياما. وأصيب بمحنة في أول خلافة المنصور (حسين ابن القاسم) لميله إلى بعض معارضيه، فاستتر، ثم رضي عنه المنصور، وكان يعظمه، وزاره في مرضه. له تآليف، منها ’’ نجوم الانظار ’’ حاشية على البحر الزخار، في الفقه، كتب منها مجلدا ولم يتمها، و ’’ صيانة العقائد ’’ على شرح القلائد، و ’’ موارد الظمآن، المختصر من إغاثة اللهفان. </w:t>
      </w:r>
    </w:p>
    <w:p>
      <w:pPr>
        <w:jc w:val="start"/>
        <w:bidi/>
      </w:pPr>
      <w:r>
        <w:rPr>
          <w:sz w:val="24"/>
          <w:szCs w:val="24"/>
          <w:b w:val="1"/>
          <w:bCs w:val="1"/>
          <w:rtl/>
        </w:rPr>
        <w:t xml:space="preserve">
الأعلام،(دار العلم للملايين - بيروت،2002،ط 15،ج 8،ص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2026-10-09T15:35:53+03:00</dcterms:created>
  <dcterms:modified xsi:type="dcterms:W3CDTF">2026-10-09T15:35:53+03:00</dcterms:modified>
</cp:coreProperties>
</file>

<file path=docProps/custom.xml><?xml version="1.0" encoding="utf-8"?>
<Properties xmlns="http://schemas.openxmlformats.org/officeDocument/2006/custom-properties" xmlns:vt="http://schemas.openxmlformats.org/officeDocument/2006/docPropsVTypes"/>
</file>