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هاجر
</w:t>
      </w:r>
    </w:p>
    <w:p>
      <w:pPr/>
      <w:r>
        <w:rPr/>
        <w:t xml:space="preserve">هاجر  هاجر بن كعب بن بجالة الضبى: جد جاهلى. من نسله (علقمة بن موهوب) من فرسان ضبة. وكانت لبنى هاجر إبل سود تشبه بها الحجارة السوداء، قال الفرزدق يذكر قدرا:</w:t>
      </w:r>
    </w:p>
    <w:p/>
    <w:p>
      <w:pPr>
        <w:jc w:val="center"/>
      </w:pPr>
      <w:r>
        <w:rPr>
          <w:color w:val="ff0000"/>
        </w:rPr>
        <w:t xml:space="preserve">أنحنا إليها من حضيض عنيزة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ثلاثا كذود الهاجرى رواسيا</w:t>
      </w:r>
    </w:p>
    <w:p/>
    <w:p>
      <w:pPr/>
      <w:r>
        <w:rPr/>
        <w:t xml:space="preserve">يصف الأثافى الثلاث التي توضع عليها القدر، وشبهها لسوادها بإبل الهاجرى.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2026-10-09T13:56:54+03:00</dcterms:created>
  <dcterms:modified xsi:type="dcterms:W3CDTF">2026-10-09T13:56:54+03:00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