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قيس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قيس الكندي
</w:t>
      </w:r>
    </w:p>
    <w:p>
      <w:pPr/>
      <w:r>
        <w:rPr/>
        <w:t xml:space="preserve">عمرو بن قيس الكندي. وكان صالح الحديث. قال محمد بن عمر: توفي سنة خمس وعشرين ومائة في خلافة الوليد بن يزيد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2026-07-28T03:54:22+03:00</dcterms:created>
  <dcterms:modified xsi:type="dcterms:W3CDTF">2026-07-28T03:54:22+03:00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