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الكازروني
</w:t>
      </w:r>
    </w:p>
    <w:p>
      <w:pPr>
        <w:jc w:val="start"/>
        <w:bidi/>
      </w:pPr>
      <w:r>
        <w:rPr>
          <w:rFonts w:ascii="arial" w:hAnsi="arial" w:eastAsia="arial" w:cs="arial"/>
          <w:sz w:val="28"/>
          <w:szCs w:val="28"/>
          <w:b w:val="1"/>
          <w:bCs w:val="1"/>
          <w:rtl/>
        </w:rPr>
        <w:t xml:space="preserve">الكازروني
</w:t>
      </w:r>
    </w:p>
    <w:p>
      <w:pPr/>
      <w:r>
        <w:rPr/>
        <w:t xml:space="preserve">الكازروني  أحمد بن مسدد بن محمد بن عبد العزيز، أبو الوليد، عفيف الدين الكازروني: متفقه شافعي، له معرفة بالحديث. مولده ووفاته بالمدينة. له (الحدائق الغوالي في قبا والعوالي - خ) مفاخرة بينهما (في شستربتي 3793) قرظها له المؤرخ السخاوي صاحب الضوء، وقال في ترجمته: لما وقع الحريق في المسجد النبوي (رمضان 886) أشرف الكازروني على الهلاك وبقي متوعكا إلى رجب سنة 887 أو قريبه، وكتب في هذا الحريق (ورود النعم وصدور النقم). وله نظم ضعيف. </w:t>
      </w:r>
    </w:p>
    <w:p>
      <w:pPr>
        <w:jc w:val="start"/>
        <w:bidi/>
      </w:pPr>
      <w:r>
        <w:rPr>
          <w:sz w:val="24"/>
          <w:szCs w:val="24"/>
          <w:b w:val="1"/>
          <w:bCs w:val="1"/>
          <w:rtl/>
        </w:rPr>
        <w:t xml:space="preserve">
الأعلام،(دار العلم للملايين - بيروت،2002،ط 15،ج 1،ص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2026-09-20T01:14:45+03:00</dcterms:created>
  <dcterms:modified xsi:type="dcterms:W3CDTF">2026-09-20T01:14:45+03:00</dcterms:modified>
</cp:coreProperties>
</file>

<file path=docProps/custom.xml><?xml version="1.0" encoding="utf-8"?>
<Properties xmlns="http://schemas.openxmlformats.org/officeDocument/2006/custom-properties" xmlns:vt="http://schemas.openxmlformats.org/officeDocument/2006/docPropsVTypes"/>
</file>