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نفاثة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نفاثة بن عدي
</w:t>
      </w:r>
    </w:p>
    <w:p>
      <w:pPr/>
      <w:r>
        <w:rPr/>
        <w:t xml:space="preserve">نفاثة بن عدي  نفاثة بن عدي بن الدؤل، من كنانة: جد جاهلى. يقول (تأبط شرا) في بعض أبنائه، من أبيات:</w:t>
      </w:r>
    </w:p>
    <w:p/>
    <w:p>
      <w:pPr>
        <w:jc w:val="center"/>
      </w:pPr>
      <w:r>
        <w:rPr>
          <w:color w:val="ff0000"/>
        </w:rPr>
        <w:t xml:space="preserve">أبعد (النفاثيين) أزجر طائرا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وآسى على شئ إذا هو أدبرا؟</w:t>
      </w:r>
    </w:p>
    <w:p/>
    <w:p>
      <w:pPr/>
      <w:r>
        <w:rPr/>
        <w:t xml:space="preserve">من نسله نوفل بن معاوية (من الصحابة) وأبو الأسود الدؤلى (واضع النحو).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2026-10-09T12:11:06+03:00</dcterms:created>
  <dcterms:modified xsi:type="dcterms:W3CDTF">2026-10-09T12:11:06+03:00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