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الجلال البغدادي
</w:t>
      </w:r>
    </w:p>
    <w:p>
      <w:pPr>
        <w:jc w:val="start"/>
        <w:bidi/>
      </w:pPr>
      <w:r>
        <w:rPr>
          <w:rFonts w:ascii="arial" w:hAnsi="arial" w:eastAsia="arial" w:cs="arial"/>
          <w:sz w:val="28"/>
          <w:szCs w:val="28"/>
          <w:b w:val="1"/>
          <w:bCs w:val="1"/>
          <w:rtl/>
        </w:rPr>
        <w:t xml:space="preserve">الجلال البغدادي
</w:t>
      </w:r>
    </w:p>
    <w:p>
      <w:pPr/>
      <w:r>
        <w:rPr/>
        <w:t xml:space="preserve">الجلال البغدادي  نصر الله بن أحمد بن محمد بن عمر، الجلال أبو الفتح التستري البغدادي: فقيه حنبلي اديب. ولد ونشأ ببغداد. وولى تدريس الحديث في المستنصرية والمجاهدية وغيرهما. وخرج منها خوفا من تيمولنك سنة 789 فمر بدمشق. واستقر في القاهرة إلى ان توفى. وافتى بها ودرس. له (منظومة في الفقه) تزيد على سبعة آلاف بيت، و (منظومة الفرائض-خ) مع شرح عليها لسبط المارديني، مئة بيت، و (نظم غريب القرآن) و (حاشية على تنقيح الززركشي) في الحديث، و (حاشية على فروع ابن مفلح) و (شرح منتهى السؤل والامل) لابن الحاجب، و (مختصر النقود والردود -خ) والاصل لمحمد بن يوسف الكرماني. </w:t>
      </w:r>
    </w:p>
    <w:p>
      <w:pPr>
        <w:jc w:val="start"/>
        <w:bidi/>
      </w:pPr>
      <w:r>
        <w:rPr>
          <w:sz w:val="24"/>
          <w:szCs w:val="24"/>
          <w:b w:val="1"/>
          <w:bCs w:val="1"/>
          <w:rtl/>
        </w:rPr>
        <w:t xml:space="preserve">
الأعلام،(دار العلم للملايين - بيروت،2002،ط 15،ج 8،ص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الله بن أحمد بن محمد بن عمر الجلال أبو الفتح التستري البغدادي الحنبلي نزيل القاهرة
</w:t>
      </w:r>
    </w:p>
    <w:p>
      <w:pPr/>
      <w:r>
        <w:rPr/>
        <w:t xml:space="preserve">نصر الله بن أحمد بن محمد بن عمر الجلال أبو الفتح التستري البغدادي الحنبلي نزيل القاهرة </w:t>
      </w:r>
    </w:p>
    <w:p/>
    <w:p>
      <w:pPr/>
      <w:r>
        <w:rPr/>
        <w:t xml:space="preserve">ولد سنة 733 ثلاث وثلاثين وسبعمائة ببغداد وأخذ عن محمد بن السقاء والبدر الأربلي والشمس الكرماني وأكثر من الاشتغال بالحديث وولى التدريس بالمستنصرية والمجاهدية ثم قدم دمشق لما شاع قدوم تيمور إليها فبالغوا في إكرامه ثم قدم القاهرة فاستقر في تدريس الحديث بها وتصدى للتدريس والإفتاء وكان مقتدرا على النظم والنثر وله منظومة في الفقه تزيد على سبعة آلاف بيت قال ابن حجر اجتمعت به واستفدت منه وسمعت من إنشائه وقد حدث بجامع المسانيد لابن الجزري وصنف في الفقه وأصوله واختصر ابن الحاجب وله في الفرائض أرجوزة في مائة بيت ومدائح نبوية وله أيضا نظم غريب القرآن ومات في عشرين من صفر سنة 812 اثنتي عشر وثمان مائة</w:t>
      </w:r>
    </w:p>
    <w:p>
      <w:pPr>
        <w:jc w:val="start"/>
        <w:bidi/>
      </w:pPr>
      <w:r>
        <w:rPr>
          <w:sz w:val="24"/>
          <w:szCs w:val="24"/>
          <w:b w:val="1"/>
          <w:bCs w:val="1"/>
          <w:rtl/>
        </w:rPr>
        <w:t xml:space="preserve">
البدر الطالع بمحاسن من بعد القرن السابع،(دار المعرفة - بيروت،0،ط 1،ج 2،ص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2026-10-09T10:03:09+03:00</dcterms:created>
  <dcterms:modified xsi:type="dcterms:W3CDTF">2026-10-09T10:03:09+03:00</dcterms:modified>
</cp:coreProperties>
</file>

<file path=docProps/custom.xml><?xml version="1.0" encoding="utf-8"?>
<Properties xmlns="http://schemas.openxmlformats.org/officeDocument/2006/custom-properties" xmlns:vt="http://schemas.openxmlformats.org/officeDocument/2006/docPropsVTypes"/>
</file>