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نشق بن عمرو
</w:t>
      </w:r>
    </w:p>
    <w:p>
      <w:pPr>
        <w:jc w:val="start"/>
        <w:bidi/>
      </w:pPr>
      <w:r>
        <w:rPr>
          <w:rFonts w:ascii="arial" w:hAnsi="arial" w:eastAsia="arial" w:cs="arial"/>
          <w:sz w:val="28"/>
          <w:szCs w:val="28"/>
          <w:b w:val="1"/>
          <w:bCs w:val="1"/>
          <w:rtl/>
        </w:rPr>
        <w:t xml:space="preserve">نشق بن عمرو
</w:t>
      </w:r>
    </w:p>
    <w:p>
      <w:pPr/>
      <w:r>
        <w:rPr/>
        <w:t xml:space="preserve">نشق بن عمرو  نشق بن عمرو بن مانع، من بني بكيل، من همدان: جد جاهلي يماني. بنوه (النشقيون) كانوا بيت شرف في بكيل، لهم ملك ورئاسة في قصر روثان والسوداء والبيضاء (من اراضي اليمن) ولهم عمران في الجوف ومأرب. ظل عقبهم إلى ايام بني امية، وتفرقوا. </w:t>
      </w:r>
    </w:p>
    <w:p>
      <w:pPr>
        <w:jc w:val="start"/>
        <w:bidi/>
      </w:pPr>
      <w:r>
        <w:rPr>
          <w:sz w:val="24"/>
          <w:szCs w:val="24"/>
          <w:b w:val="1"/>
          <w:bCs w:val="1"/>
          <w:rtl/>
        </w:rPr>
        <w:t xml:space="preserve">
الأعلام،(دار العلم للملايين - بيروت،2002،ط 15،ج 8،ص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2026-10-09T07:54:45+03:00</dcterms:created>
  <dcterms:modified xsi:type="dcterms:W3CDTF">2026-10-09T07:54:45+03:00</dcterms:modified>
</cp:coreProperties>
</file>

<file path=docProps/custom.xml><?xml version="1.0" encoding="utf-8"?>
<Properties xmlns="http://schemas.openxmlformats.org/officeDocument/2006/custom-properties" xmlns:vt="http://schemas.openxmlformats.org/officeDocument/2006/docPropsVTypes"/>
</file>