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الصابوني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الصابوني
</w:t>
      </w:r>
    </w:p>
    <w:p>
      <w:pPr/>
      <w:r>
        <w:rPr/>
        <w:t xml:space="preserve">الصابوني  أحمد بن محمود بن أبي بكر، نور الدين الصابوني البخاري: من علماء الكلام، من الحنفية. مولده ووفاته في بخارى. نسبته إلى عمل الصابون أو بيعه. له (البدارة من الكفاية - خ) في شستربتي (3599) في أصول الدين، اختصره من كتابه (الكفاية في الهداية - خ) في أوقاف بغداد، ويسمى (عقيدة الصابوني).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محمود الصابوني
</w:t>
      </w:r>
    </w:p>
    <w:p>
      <w:pPr/>
      <w:r>
        <w:rPr/>
        <w:t xml:space="preserve">أحمد بن محمود الصابوني أحمد بن محمود بن أبي بكر الصابوني نور الدين أبو محمد له البداية في أصول الدين توفي ليلة الثلاثاء سادس عشر صفر سنة ثمانين وخمسمائة قلت: تفقه الصابوني على شمس الأئمة الكردري وكانت وفاته وقت صلاة المغرب ودفن بمقبرة القضاة السبعة وله كتاب المغنى في أصول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الصابوني
</w:t>
      </w:r>
    </w:p>
    <w:p>
      <w:pPr/>
      <w:r>
        <w:rPr/>
        <w:t xml:space="preserve">الصابوني  أحمد بن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2026-07-29T08:37:35+03:00</dcterms:created>
  <dcterms:modified xsi:type="dcterms:W3CDTF">2026-07-29T08:37:35+03:00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