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الحكم
</w:t>
      </w:r>
    </w:p>
    <w:p>
      <w:pPr>
        <w:jc w:val="start"/>
        <w:bidi/>
      </w:pPr>
      <w:r>
        <w:rPr>
          <w:rFonts w:ascii="arial" w:hAnsi="arial" w:eastAsia="arial" w:cs="arial"/>
          <w:sz w:val="28"/>
          <w:szCs w:val="28"/>
          <w:b w:val="1"/>
          <w:bCs w:val="1"/>
          <w:rtl/>
        </w:rPr>
        <w:t xml:space="preserve">عمر بن الحكم
</w:t>
      </w:r>
    </w:p>
    <w:p>
      <w:pPr/>
      <w:r>
        <w:rPr/>
        <w:t xml:space="preserve">عمر بن الحكم بن أبي الحكم. وهو من بني عمرو بن عامر من ولد الفطيون وهم حلفاء للأوس من الأنصار ودعوتهم في الديوان في بني أمية بن زيد.</w:t>
      </w:r>
    </w:p>
    <w:p/>
    <w:p>
      <w:pPr/>
      <w:r>
        <w:rPr/>
        <w:t xml:space="preserve">وبنو أمية بن زيد آخر دعوى الأوس. ويكنى عمر أبا حفص. وكان ثقة وله أحاديث صالحة وتوفي سنة سبع عشرة ومائة في خلافة هشام بن عبد الملك. وهو يومئذ ابن ثمانين سنة.</w:t>
      </w:r>
    </w:p>
    <w:p>
      <w:pPr>
        <w:jc w:val="start"/>
        <w:bidi/>
      </w:pPr>
      <w:r>
        <w:rPr>
          <w:sz w:val="24"/>
          <w:szCs w:val="24"/>
          <w:b w:val="1"/>
          <w:bCs w:val="1"/>
          <w:rtl/>
        </w:rPr>
        <w:t xml:space="preserve">
الطبقات الكبرى،(دار الكتب العلمية - بيروت،1990،ط 1،ج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2026-07-28T19:21:38+03:00</dcterms:created>
  <dcterms:modified xsi:type="dcterms:W3CDTF">2026-07-28T19:21:38+03:00</dcterms:modified>
</cp:coreProperties>
</file>

<file path=docProps/custom.xml><?xml version="1.0" encoding="utf-8"?>
<Properties xmlns="http://schemas.openxmlformats.org/officeDocument/2006/custom-properties" xmlns:vt="http://schemas.openxmlformats.org/officeDocument/2006/docPropsVTypes"/>
</file>