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موسى بن ميمون
</w:t>
      </w:r>
    </w:p>
    <w:p>
      <w:pPr>
        <w:jc w:val="start"/>
        <w:bidi/>
      </w:pPr>
      <w:r>
        <w:rPr>
          <w:rFonts w:ascii="arial" w:hAnsi="arial" w:eastAsia="arial" w:cs="arial"/>
          <w:sz w:val="28"/>
          <w:szCs w:val="28"/>
          <w:b w:val="1"/>
          <w:bCs w:val="1"/>
          <w:rtl/>
        </w:rPr>
        <w:t xml:space="preserve">موسى بن ميمون
</w:t>
      </w:r>
    </w:p>
    <w:p>
      <w:pPr/>
      <w:r>
        <w:rPr/>
        <w:t xml:space="preserve">موسى بن ميمون  موسى بن ميمون بن يوسف بن إسحاق، أبوعمران القرطبي: طبيب فيلسوف يهودي.</w:t>
      </w:r>
    </w:p>
    <w:p/>
    <w:p>
      <w:pPr/>
      <w:r>
        <w:rPr/>
        <w:t xml:space="preserve">ولد وتعلم في قرطبة. وتنقل مع أبيه في مدن الأندلس، وتظاهر بالإسلام، وقيل: أكره عليه، فحفظ القرآن وتفقه بالمالكية. ودخل مصر، فعاد إلى يهوديته، وأقام في القاهرة 37 عاما كان فيها (من سنة 567 هـ رئيسا روحيا لليهود. كما كان في بعض تلك المدة طبيبا في البلاط الأيوبي.</w:t>
      </w:r>
    </w:p>
    <w:p/>
    <w:p>
      <w:pPr/>
      <w:r>
        <w:rPr/>
        <w:t xml:space="preserve">ومات بها ودفن في طبرية (بفلسطين) له تصانيف كثيرة بالعربية والعبرية، منها (دلالة لحائرين - ط) ثلاثة أجزاء، بالعربية والحروف العبرية، وهو كتاب فلسفته. قال ابن العبري: سماه بالدلالة، وبعضهم يستجيده وبعضهم يذمه ويسميه الضلالة. ترجم إلى اللاتينية وطبع بها أيضا، ونشر قسم منه بالحروف العربية، بعنوان (المقدمات الخمس والعشرون - ط) وله (الفصول - خ) بالعربية، في الطب، ويعرف بفصول القرطبي أو فصول موسى، ترجم إلى اللاتينية وطبع بها، و (شرح أسماء العقار - ط) في العقاقير، و (تهذيب الاستكمال، لابن هود) في علم الرياضة، أصلحه وقرئ عليه. و (المقالة في تدبير الصحة الأفضلية - خ) كتبها للملك الأفضل صاحب دمشق، و (تلخيص كتاب حيلة البرء - خ) ورسالة في (البواسير - خ) و (مقالة في بيان الأعراض - خ) و (مقالة في الربو - خ) و (رسالة في الجماع - خ) و (مقالة تشتمل على فصول من كتاب الحيوان لأرسطو - خ) . ولإسرائيل ولفنسون، كتاب (موسى بن ميمون - ط) في سيرته وفلسفته.</w:t>
      </w:r>
    </w:p>
    <w:p/>
    <w:p>
      <w:pPr/>
      <w:r>
        <w:rPr/>
        <w:t xml:space="preserve">وفي مخطوطات اللورنزيانة (276 شرقي) نسخة من (الرسالة الفاضلية، في تدبير المنهوش) له، ألفها للقاضي الفاضل، أولها: (أمرني القاضي الفاضل رحمه الله أن أعمل مقالة إلخ) ترجمت إلى اللاتينية وطبعت بها. وهي التي سماها ولفنسون (السموم والتحرز من الأدوية القتالة) كما في طبقات الأطباء.</w:t>
      </w:r>
    </w:p>
    <w:p>
      <w:pPr>
        <w:jc w:val="start"/>
        <w:bidi/>
      </w:pPr>
      <w:r>
        <w:rPr>
          <w:sz w:val="24"/>
          <w:szCs w:val="24"/>
          <w:b w:val="1"/>
          <w:bCs w:val="1"/>
          <w:rtl/>
        </w:rPr>
        <w:t xml:space="preserve">
الأعلام،(دار العلم للملايين - بيروت،2002،ط 15،ج 7،ص 329)</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2026-07-28T23:12:05+03:00</dcterms:created>
  <dcterms:modified xsi:type="dcterms:W3CDTF">2026-07-28T23:12:05+03:00</dcterms:modified>
</cp:coreProperties>
</file>

<file path=docProps/custom.xml><?xml version="1.0" encoding="utf-8"?>
<Properties xmlns="http://schemas.openxmlformats.org/officeDocument/2006/custom-properties" xmlns:vt="http://schemas.openxmlformats.org/officeDocument/2006/docPropsVTypes"/>
</file>