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المفضل بن محمد الأصبهاني أبو القاسم الراغب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المفضل بن محمد الأصبهاني أبو القاسم الراغب
</w:t>
      </w:r>
    </w:p>
    <w:p>
      <w:pPr/>
      <w:r>
        <w:rPr/>
        <w:t xml:space="preserve">المفضل بن محمد الأصبهاني أبو القاسم الراغب. صاحب المصنفات، كان في أوائل المائة الخامسة.</w:t>
      </w:r>
    </w:p>
    <w:p/>
    <w:p>
      <w:pPr/>
      <w:r>
        <w:rPr/>
        <w:t xml:space="preserve">له: «مفردات القرآن»، و «أفانين البلاغة»، و «المحاضرات»، و «الذريعة إلى مكارم الشريعة» وغير ذلك.</w:t>
      </w:r>
    </w:p>
    <w:p/>
    <w:p>
      <w:pPr/>
      <w:r>
        <w:rPr/>
        <w:t xml:space="preserve">ذكره شيخنا في «طبقات النحاة» وقال: كان في ظني أنه معتزلي، حتى رأيت بخط الشيخ نور الدين الزركشي على ظهر نسخة من «القواعد الصغرى» لابن عبد السلام ما نصه: ذكر الإمام فخر الدين الرازي في «تأسيس التقديس في الأصول» أن أبا القاسم الراغب كان من أئمة السنة، وقرنه بالغزالي، قال: وهي فائدة حسنة، فإن كثيرا من الناس يظنون أنه معتزلي 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مفضل بن محمد الأصبهاني أبو القاسم الراغب
</w:t>
      </w:r>
    </w:p>
    <w:p>
      <w:pPr/>
      <w:r>
        <w:rPr/>
        <w:t xml:space="preserve">مفضل بن محمد الأصبهاني أبو القاسم الراغب كان ظهوره في أوائل المائة الخامسة وكان عالما بأنواع العلوم وماهوا في التفسير ومن مصنفاته مفردات القرآن </w:t>
      </w:r>
    </w:p>
    <w:p/>
    <w:p>
      <w:pPr/>
      <w:r>
        <w:rPr/>
        <w:t xml:space="preserve">وكتاب الذريعة في محاسن الشريعة وأقانين البلاغة وكتاب الأخلاق وصنف التفسير وتوفي سنة خمس وثلاثين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168)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2026-07-28T11:25:46+03:00</dcterms:created>
  <dcterms:modified xsi:type="dcterms:W3CDTF">2026-07-28T11:25:46+03:00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