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ظفر المكي الصقلي
</w:t>
      </w:r>
    </w:p>
    <w:p>
      <w:pPr>
        <w:jc w:val="start"/>
        <w:bidi/>
      </w:pPr>
      <w:r>
        <w:rPr>
          <w:rFonts w:ascii="arial" w:hAnsi="arial" w:eastAsia="arial" w:cs="arial"/>
          <w:sz w:val="28"/>
          <w:szCs w:val="28"/>
          <w:b w:val="1"/>
          <w:bCs w:val="1"/>
          <w:rtl/>
        </w:rPr>
        <w:t xml:space="preserve">محمد بن عبد الله بن محمد ظفر المكي الصقلي
</w:t>
      </w:r>
    </w:p>
    <w:p>
      <w:pPr/>
      <w:r>
        <w:rPr/>
        <w:t xml:space="preserve">محمد بن عبد الله بن محمد ظفر المكي الصقلي. حجة الدين أبو جعفر النحوي اللغوي المالكي.</w:t>
      </w:r>
    </w:p>
    <w:p/>
    <w:p>
      <w:pPr/>
      <w:r>
        <w:rPr/>
        <w:t xml:space="preserve">ولد بمكة، ثم قدم مصر في صباه، ولقي أبا بكر الطرطوشي بالإسكندرية، ولقي بالأندلس أبا بكر بن العربي، وأبا مروان الباجي، وأبا الوليد الدباغ، وابن مسرة.</w:t>
      </w:r>
    </w:p>
    <w:p/>
    <w:p>
      <w:pPr/>
      <w:r>
        <w:rPr/>
        <w:t xml:space="preserve">وقصد بلاد إفريقية، وأقام بالمهدية مدة، وشاهد بها حروبا من الفرنج وأخذت من المسلمين وهو هناك، ثم انتقل إلى صقلية، ثم إلى مصر، ثم قدم حلب، وأقام بمدرسة ابن أبي عصرون، وصنف بها تفسيرا كبيرا، ثم جرت فتنة بين الشيعة وأهل السنة، فنهبت كتبه فيما نهب، فقدم حماة، فصادف قبولا، وأجري له راتب، وصنف هناك تصانيفه.</w:t>
      </w:r>
    </w:p>
    <w:p/>
    <w:p>
      <w:pPr/>
      <w:r>
        <w:rPr/>
        <w:t xml:space="preserve">وكان رجلا صالحا ورعا زاهدا، مشتغلا بما يعينه. وله شعر حسن.</w:t>
      </w:r>
    </w:p>
    <w:p/>
    <w:p>
      <w:pPr/>
      <w:r>
        <w:rPr/>
        <w:t xml:space="preserve">وكان أعلم باللغة من النحو، وأقام بحماة إلى أن مات بها سنة خمس وستين وخمسمائة.</w:t>
      </w:r>
    </w:p>
    <w:p/>
    <w:p>
      <w:pPr/>
      <w:r>
        <w:rPr/>
        <w:t xml:space="preserve">وله من الكتب «ينبوع الحياة في التفسير» «التفسير الكبير» الاشتراك اللغوي «الاستنباط المعنوي» «سلوان المطاع» «القواعد والبيان في النحو» «الرد على الحريري في درة الغواص» «أساليب الغاية في أحكام آية» «المطول في شرح المقامات» «التنقيب على ما في المقامات من الغريب» «ملح اللغة فيما اتفق لفظه واختلف معناه على حروف المعجم» «خير البشر بخير البشر» «نجباء الأنباء» «معاتبة الجريء على معاقبة البريء» «إكسير كيمياء التفسير» «أرجوزة في الفرائض والولاء» وغير ذلك.</w:t>
      </w:r>
    </w:p>
    <w:p/>
    <w:p>
      <w:pPr/>
      <w:r>
        <w:rPr/>
        <w:t xml:space="preserve">ومن شعره:</w:t>
      </w:r>
    </w:p>
    <w:p/>
    <w:p>
      <w:pPr>
        <w:jc w:val="center"/>
      </w:pPr>
      <w:r>
        <w:rPr>
          <w:color w:val="ff0000"/>
        </w:rPr>
        <w:t xml:space="preserve">ببسم الله يفتتح العليم</w:t>
      </w:r>
      <w:r>
        <w:rPr>
          <w:color w:val="ff0000"/>
        </w:rPr>
        <w:t xml:space="preserve">      </w:t>
      </w:r>
      <w:r>
        <w:rPr>
          <w:color w:val="ff0000"/>
        </w:rPr>
        <w:t xml:space="preserve"> وبالرحمن يعتصم الحليم </w:t>
      </w:r>
    </w:p>
    <w:p/>
    <w:p>
      <w:pPr>
        <w:jc w:val="center"/>
      </w:pPr>
      <w:r>
        <w:rPr>
          <w:color w:val="ff0000"/>
        </w:rPr>
        <w:t xml:space="preserve">وكيف يلومني في حسن ظني</w:t>
      </w:r>
      <w:r>
        <w:rPr>
          <w:color w:val="ff0000"/>
        </w:rPr>
        <w:t xml:space="preserve">      </w:t>
      </w:r>
      <w:r>
        <w:rPr>
          <w:color w:val="ff0000"/>
        </w:rPr>
        <w:t xml:space="preserve"> بربي لائم وهو الرحيم!</w:t>
      </w:r>
    </w:p>
    <w:p/>
    <w:p>
      <w:pPr/>
      <w:r>
        <w:rPr/>
        <w:t xml:space="preserve">وأنشد له ابن خلكان:</w:t>
      </w:r>
    </w:p>
    <w:p/>
    <w:p>
      <w:pPr>
        <w:jc w:val="center"/>
      </w:pPr>
      <w:r>
        <w:rPr>
          <w:color w:val="ff0000"/>
        </w:rPr>
        <w:t xml:space="preserve">جعلتك في قلبي فهل أنت عالم</w:t>
      </w:r>
      <w:r>
        <w:rPr>
          <w:color w:val="ff0000"/>
        </w:rPr>
        <w:t xml:space="preserve">      </w:t>
      </w:r>
      <w:r>
        <w:rPr>
          <w:color w:val="ff0000"/>
        </w:rPr>
        <w:t xml:space="preserve"> بأنك محمول وأنت مقيم </w:t>
      </w:r>
    </w:p>
    <w:p/>
    <w:p>
      <w:pPr>
        <w:jc w:val="center"/>
      </w:pPr>
      <w:r>
        <w:rPr>
          <w:color w:val="ff0000"/>
        </w:rPr>
        <w:t xml:space="preserve">ألا إن شخصا في فؤادي محله</w:t>
      </w:r>
      <w:r>
        <w:rPr>
          <w:color w:val="ff0000"/>
        </w:rPr>
        <w:t xml:space="preserve">      </w:t>
      </w:r>
      <w:r>
        <w:rPr>
          <w:color w:val="ff0000"/>
        </w:rPr>
        <w:t xml:space="preserve"> واشتقاقه، شخص على كريم</w:t>
      </w:r>
    </w:p>
    <w:p/>
    <w:p>
      <w:pPr/>
      <w:r>
        <w:rPr/>
        <w:t xml:space="preserve">وأورد له في «الخريدة»:</w:t>
      </w:r>
    </w:p>
    <w:p/>
    <w:p>
      <w:pPr>
        <w:jc w:val="center"/>
      </w:pPr>
      <w:r>
        <w:rPr>
          <w:color w:val="ff0000"/>
        </w:rPr>
        <w:t xml:space="preserve">على قدر فضل المرء تأتي خطوبه</w:t>
      </w:r>
      <w:r>
        <w:rPr>
          <w:color w:val="ff0000"/>
        </w:rPr>
        <w:t xml:space="preserve">      </w:t>
      </w:r>
      <w:r>
        <w:rPr>
          <w:color w:val="ff0000"/>
        </w:rPr>
        <w:t xml:space="preserve"> ويعرف عند الصبر منه نصيبه </w:t>
      </w:r>
    </w:p>
    <w:p/>
    <w:p>
      <w:pPr>
        <w:jc w:val="center"/>
      </w:pPr>
      <w:r>
        <w:rPr>
          <w:color w:val="ff0000"/>
        </w:rPr>
        <w:t xml:space="preserve">ومن قل فيما يتقيه اصطباره</w:t>
      </w:r>
      <w:r>
        <w:rPr>
          <w:color w:val="ff0000"/>
        </w:rPr>
        <w:t xml:space="preserve">      </w:t>
      </w:r>
      <w:r>
        <w:rPr>
          <w:color w:val="ff0000"/>
        </w:rPr>
        <w:t xml:space="preserve"> فقد قل فيما يرتجيه نصيبه</w:t>
      </w:r>
    </w:p>
    <w:p/>
    <w:p>
      <w:pPr>
        <w:jc w:val="start"/>
        <w:bidi/>
      </w:pPr>
      <w:r>
        <w:rPr>
          <w:sz w:val="24"/>
          <w:szCs w:val="24"/>
          <w:b w:val="1"/>
          <w:bCs w:val="1"/>
          <w:rtl/>
        </w:rPr>
        <w:t xml:space="preserve">
طبقات المفسرين للداوودي،(دار الكتب العلمية - بيروت،0000،ط 0،ج 2،ص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2026-07-29T05:18:48+03:00</dcterms:created>
  <dcterms:modified xsi:type="dcterms:W3CDTF">2026-07-29T05:18:48+03:00</dcterms:modified>
</cp:coreProperties>
</file>

<file path=docProps/custom.xml><?xml version="1.0" encoding="utf-8"?>
<Properties xmlns="http://schemas.openxmlformats.org/officeDocument/2006/custom-properties" xmlns:vt="http://schemas.openxmlformats.org/officeDocument/2006/docPropsVTypes"/>
</file>