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السلطان مراد بن محمد العثماني
</w:t>
      </w:r>
    </w:p>
    <w:p>
      <w:pPr>
        <w:jc w:val="start"/>
        <w:bidi/>
      </w:pPr>
      <w:r>
        <w:rPr>
          <w:rFonts w:ascii="arial" w:hAnsi="arial" w:eastAsia="arial" w:cs="arial"/>
          <w:sz w:val="28"/>
          <w:szCs w:val="28"/>
          <w:b w:val="1"/>
          <w:bCs w:val="1"/>
          <w:rtl/>
        </w:rPr>
        <w:t xml:space="preserve">السلطان مراد بن محمد العثماني
</w:t>
      </w:r>
    </w:p>
    <w:p>
      <w:pPr/>
      <w:r>
        <w:rPr/>
        <w:t xml:space="preserve">السلطان مراد بن محمد العثماني مراد بن محمد بن بايزيد بن مراد بن عثمان، ملك الروم. تولى الملك بعد موت أبيه سنة أربع وعشرين وثمانمائة، وطالت أيامه وحسنت سيرته، وأفنى عمره في جهاد الكفار، وفتح القلاع. مات في المحرم سنة خمس وخمسين وثمانمائة. ولم يكمل خمسين سنة.</w:t>
      </w:r>
    </w:p>
    <w:p>
      <w:pPr>
        <w:jc w:val="start"/>
        <w:bidi/>
      </w:pPr>
      <w:r>
        <w:rPr>
          <w:sz w:val="24"/>
          <w:szCs w:val="24"/>
          <w:b w:val="1"/>
          <w:bCs w:val="1"/>
          <w:rtl/>
        </w:rPr>
        <w:t xml:space="preserve">
نظم العقيان في أعيان الأعيان،(المطبعة السورية الأمريكية - نيويورك  /  المكتبة العلمية - بيروت،1927،ط 0،ج 1،ص 175)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2026-07-29T02:06:21+03:00</dcterms:created>
  <dcterms:modified xsi:type="dcterms:W3CDTF">2026-07-29T02:06:21+03:00</dcterms:modified>
</cp:coreProperties>
</file>

<file path=docProps/custom.xml><?xml version="1.0" encoding="utf-8"?>
<Properties xmlns="http://schemas.openxmlformats.org/officeDocument/2006/custom-properties" xmlns:vt="http://schemas.openxmlformats.org/officeDocument/2006/docPropsVTypes"/>
</file>