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الراعي الأندلسي، النحوي أبو عبد الله محمد بن محمد
</w:t>
      </w:r>
    </w:p>
    <w:p>
      <w:pPr>
        <w:jc w:val="start"/>
        <w:bidi/>
      </w:pPr>
      <w:r>
        <w:rPr>
          <w:rFonts w:ascii="arial" w:hAnsi="arial" w:eastAsia="arial" w:cs="arial"/>
          <w:sz w:val="28"/>
          <w:szCs w:val="28"/>
          <w:b w:val="1"/>
          <w:bCs w:val="1"/>
          <w:rtl/>
        </w:rPr>
        <w:t xml:space="preserve">الراعي الأندلسي، النحوي أبو عبد الله محمد بن محمد
</w:t>
      </w:r>
    </w:p>
    <w:p>
      <w:pPr/>
      <w:r>
        <w:rPr/>
        <w:t xml:space="preserve">الراعي الأندلسي، النحوي أبو عبد الله محمد بن محمد محمد بن محمد بن محمد بن إسماعيل الأندلسي النحوي، أبو عبد الله</w:t>
      </w:r>
    </w:p>
    <w:p/>
    <w:p>
      <w:pPr/>
      <w:r>
        <w:rPr/>
        <w:t xml:space="preserve">الشهير بالراعي الملكي. ولد بغرناطة سنة اثنتين وثمانين وسبعمائة تقريبا واشتغل في الفقه والأصول والنحو على أبي القاسم البرزالي وغيره. ودخل القاهرة سنة خمس وعشرين وثمانمائة، فأقام بها يدرس العربية إلى أن انتفع به جماعة حذاق. وشهر بفن الإعراب. وله شرح على ألفية بن مالك، وشرحان على الجرومية. مات سنة ثلاث وخمسين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2026-07-28T21:14:16+03:00</dcterms:created>
  <dcterms:modified xsi:type="dcterms:W3CDTF">2026-07-28T21:14:16+03:00</dcterms:modified>
</cp:coreProperties>
</file>

<file path=docProps/custom.xml><?xml version="1.0" encoding="utf-8"?>
<Properties xmlns="http://schemas.openxmlformats.org/officeDocument/2006/custom-properties" xmlns:vt="http://schemas.openxmlformats.org/officeDocument/2006/docPropsVTypes"/>
</file>