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إمام الكاملية، كمال الدين محمد بن محمد
</w:t>
      </w:r>
    </w:p>
    <w:p>
      <w:pPr>
        <w:jc w:val="start"/>
        <w:bidi/>
      </w:pPr>
      <w:r>
        <w:rPr>
          <w:rFonts w:ascii="arial" w:hAnsi="arial" w:eastAsia="arial" w:cs="arial"/>
          <w:sz w:val="28"/>
          <w:szCs w:val="28"/>
          <w:b w:val="1"/>
          <w:bCs w:val="1"/>
          <w:rtl/>
        </w:rPr>
        <w:t xml:space="preserve">ابن إمام الكاملية، كمال الدين محمد بن محمد
</w:t>
      </w:r>
    </w:p>
    <w:p>
      <w:pPr/>
      <w:r>
        <w:rPr/>
        <w:t xml:space="preserve">ابن إمام الكاملية، كمال الدين محمد بن محمد محمد بن محمد بن عبد الرحمن بن علي بن عبد الله بن يوسف المصري الشافعي، الشيخ العلامة الصالح كمال الدين أبو عبد الله، بن العالم شمس الدين المعروف بابن إمام الكاملية. ولد في شوال سنة ثمان وثمانمائة وسمع الحديث من الشيخ ولي الدين العراقي، والواسطي وابن الجزري، وأخذ الفقه عن الشمس البرماوي والشرف السبكي، والشهاب الطندتائي، والشمس الحجازي، وغيرهم، والأصول والعربية على البساطي، والقاياتي، والونائي، وغيرهم. وبرع في الفنون. وألف كتبا منها: ’’ مختصر تفسير البيضاوي ’’، و ’’ مختصر شرح البخاري للبرهان الحلبي ’’، و ’’ شرحان على منهاج البيضاوي ’’، و ’’ شرح مختصر بن الحاجب ’’، و ’’ شرح الورقات ’’، و ’’ نكت على منهاج النووي ’’. وولي تدريس الحديث بالكاملية، ومشيخة الصلاحية بجوار الإمام الشافعي. مات في شوال سنة أربع وسبعين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2026-07-28T12:59:27+03:00</dcterms:created>
  <dcterms:modified xsi:type="dcterms:W3CDTF">2026-07-28T12:59:27+03:00</dcterms:modified>
</cp:coreProperties>
</file>

<file path=docProps/custom.xml><?xml version="1.0" encoding="utf-8"?>
<Properties xmlns="http://schemas.openxmlformats.org/officeDocument/2006/custom-properties" xmlns:vt="http://schemas.openxmlformats.org/officeDocument/2006/docPropsVTypes"/>
</file>