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شريف، المقدسي كمال الدين محمد بن محمد
</w:t>
      </w:r>
    </w:p>
    <w:p>
      <w:pPr>
        <w:jc w:val="start"/>
        <w:bidi/>
      </w:pPr>
      <w:r>
        <w:rPr>
          <w:rFonts w:ascii="arial" w:hAnsi="arial" w:eastAsia="arial" w:cs="arial"/>
          <w:sz w:val="28"/>
          <w:szCs w:val="28"/>
          <w:b w:val="1"/>
          <w:bCs w:val="1"/>
          <w:rtl/>
        </w:rPr>
        <w:t xml:space="preserve">ابن أبي شريف، المقدسي كمال الدين محمد بن محمد
</w:t>
      </w:r>
    </w:p>
    <w:p>
      <w:pPr/>
      <w:r>
        <w:rPr/>
        <w:t xml:space="preserve">ابن أبي شريف، المقدسي كمال الدين محمد بن محمد محمد بن محمد بن أبي بكر بن علي بن مسعود بن رضوان المري القدسي، الشيخ كمال الدين أبو المعالي ابن أبي شريف الشافعي. ولد في ذي الحجة سنة اثنتين وعشرين وثمانمائة. وأخذ عن الشهاب بن رسلان، والحافظ بن حجر، والشيخ عبد السلام البغدادي، والكمال بن الهمام،</w:t>
      </w:r>
    </w:p>
    <w:p/>
    <w:p>
      <w:pPr/>
      <w:r>
        <w:rPr/>
        <w:t xml:space="preserve">وغيرهم. ولازم خدمة العلم، فبرع في الفقه والأصلين، والعربية، وغيرها. وتصدى للتدريس والإفتاء والتأليف. ومن تصانيفه: ’’ حاشية على شرح العقائد للتفتازاني ’’، ’’ وحاشية على شرح جمع الجوامع للجلال المحلي ’’، و ’’ شرح الإرشاد في الفقه لابن المقرئ ’’.</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2026-07-29T12:12:08+03:00</dcterms:created>
  <dcterms:modified xsi:type="dcterms:W3CDTF">2026-07-29T12:12:08+03:00</dcterms:modified>
</cp:coreProperties>
</file>

<file path=docProps/custom.xml><?xml version="1.0" encoding="utf-8"?>
<Properties xmlns="http://schemas.openxmlformats.org/officeDocument/2006/custom-properties" xmlns:vt="http://schemas.openxmlformats.org/officeDocument/2006/docPropsVTypes"/>
</file>