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منقر
</w:t>
      </w:r>
    </w:p>
    <w:p>
      <w:pPr/>
      <w:r>
        <w:rPr/>
        <w:t xml:space="preserve">منقر  منقر بن عبيد بن مقاعس (الحارث) من تميم: جد جاهلي. تكرر ذكره في شعر (جرير) ومنه قوله:</w:t>
      </w:r>
    </w:p>
    <w:p/>
    <w:p>
      <w:pPr>
        <w:jc w:val="center"/>
      </w:pPr>
      <w:r>
        <w:rPr>
          <w:color w:val="ff0000"/>
        </w:rPr>
        <w:t xml:space="preserve">وغدا الفرزدق حين فارق منقرا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غير عافية وغير سرور</w:t>
      </w:r>
    </w:p>
    <w:p/>
    <w:p>
      <w:pPr/>
      <w:r>
        <w:rPr/>
        <w:t xml:space="preserve">بنوه بطن كان اكثرها بنجد. ومن نسله (قيس بن عاصم) الصحابي، و (عمرو بن الاهتم) من السادة في الجاهلية والاسلام، و (مية) صاحبة ذي الرمة.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2026-07-28T16:15:36+03:00</dcterms:created>
  <dcterms:modified xsi:type="dcterms:W3CDTF">2026-07-28T16:15:36+03:00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