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الضيا المكي، أبو البقا محمد بن أحمد
</w:t>
      </w:r>
    </w:p>
    <w:p>
      <w:pPr>
        <w:jc w:val="start"/>
        <w:bidi/>
      </w:pPr>
      <w:r>
        <w:rPr>
          <w:rFonts w:ascii="arial" w:hAnsi="arial" w:eastAsia="arial" w:cs="arial"/>
          <w:sz w:val="28"/>
          <w:szCs w:val="28"/>
          <w:b w:val="1"/>
          <w:bCs w:val="1"/>
          <w:rtl/>
        </w:rPr>
        <w:t xml:space="preserve">ابن الضيا المكي، أبو البقا محمد بن أحمد
</w:t>
      </w:r>
    </w:p>
    <w:p>
      <w:pPr/>
      <w:r>
        <w:rPr/>
        <w:t xml:space="preserve">ابن الضيا المكي، أبو البقا محمد بن أحمد محمدبن أحمد بن الضيا، أخو الذي قبله، القاضي أبو البقا الحنفي. ولد سنة تسع وثمانين وسبعمائة. وتفقه بوالده، وقارئ الهداية. وأخذ عن العز بن جماعة، والشمس المعيد، وجماعة، إلى أن ضرب في العلوم بنصيب وافر. وانفرد بالشيخوخة في مذهبه ببلاد الحجاز. وولي قضاء مكة، وصنف كتبا منها: ’’ التفسير ’’ وشرح المجمع ’’، و ’’ شرح البزدوي ’’، و ’’ شرح مقدمة الغزنوي ’’، و ’’ الشافي في أختيار الكافي ’’، و ’’ مناسك الحج ’’ في ثلاث مجلدات، و ’’ تنزيه المسجد الحرام عن بدعة جهلة العوام ’’. مات في ذي القعدة سنة أربع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2026-07-29T09:36:46+03:00</dcterms:created>
  <dcterms:modified xsi:type="dcterms:W3CDTF">2026-07-29T09:36:46+03:00</dcterms:modified>
</cp:coreProperties>
</file>

<file path=docProps/custom.xml><?xml version="1.0" encoding="utf-8"?>
<Properties xmlns="http://schemas.openxmlformats.org/officeDocument/2006/custom-properties" xmlns:vt="http://schemas.openxmlformats.org/officeDocument/2006/docPropsVTypes"/>
</file>