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البوتيجي، عبد الرحمن بن عنبر
</w:t>
      </w:r>
    </w:p>
    <w:p>
      <w:pPr>
        <w:jc w:val="start"/>
        <w:bidi/>
      </w:pPr>
      <w:r>
        <w:rPr>
          <w:rFonts w:ascii="arial" w:hAnsi="arial" w:eastAsia="arial" w:cs="arial"/>
          <w:sz w:val="28"/>
          <w:szCs w:val="28"/>
          <w:b w:val="1"/>
          <w:bCs w:val="1"/>
          <w:rtl/>
        </w:rPr>
        <w:t xml:space="preserve">البوتيجي، عبد الرحمن بن عنبر
</w:t>
      </w:r>
    </w:p>
    <w:p>
      <w:pPr/>
      <w:r>
        <w:rPr/>
        <w:t xml:space="preserve">البوتيجي، عبد الرحمن بن عنبر عبد الرحمن بن عنبر بن علي بن أحمد بن يعقوب بن عبد الرحمن البوتيجي الشافعي الفقيه القرشي. سمع على الشيخ زين الدين العراقي، وأجاز له البلقيني، وابن الملقن، والبرهان الأنباسي، والكمال الدميري</w:t>
      </w:r>
    </w:p>
    <w:p/>
    <w:p>
      <w:pPr/>
      <w:r>
        <w:rPr/>
        <w:t xml:space="preserve">وأخذ الفقه والفرائض والحساب بأنواعه عن الشمس العراقي وعن الشهاب بن العماد. ولازم الشيخ ولي الدين العراقي وأخذ عنه غالب كتبه. وأخذ النحو عن الشطنوفي، وسبط بن هشام والاصول عن الشمس البرماوي وشهر بالفرائض وانتفع به الناس مع الصلاح وصحبة الصوفية، والانقطاع عن الناس، والقناعة باليسير من الرزق. مات في شوال سنة أربع وستين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2026-07-28T04:31:12+03:00</dcterms:created>
  <dcterms:modified xsi:type="dcterms:W3CDTF">2026-07-28T04:31:12+03:00</dcterms:modified>
</cp:coreProperties>
</file>

<file path=docProps/custom.xml><?xml version="1.0" encoding="utf-8"?>
<Properties xmlns="http://schemas.openxmlformats.org/officeDocument/2006/custom-properties" xmlns:vt="http://schemas.openxmlformats.org/officeDocument/2006/docPropsVTypes"/>
</file>