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الملقن، جلال الدين عبد الرحمن بن علي
</w:t>
      </w:r>
    </w:p>
    <w:p>
      <w:pPr>
        <w:jc w:val="start"/>
        <w:bidi/>
      </w:pPr>
      <w:r>
        <w:rPr>
          <w:rFonts w:ascii="arial" w:hAnsi="arial" w:eastAsia="arial" w:cs="arial"/>
          <w:sz w:val="28"/>
          <w:szCs w:val="28"/>
          <w:b w:val="1"/>
          <w:bCs w:val="1"/>
          <w:rtl/>
        </w:rPr>
        <w:t xml:space="preserve">ابن الملقن، جلال الدين عبد الرحمن بن علي
</w:t>
      </w:r>
    </w:p>
    <w:p>
      <w:pPr/>
      <w:r>
        <w:rPr/>
        <w:t xml:space="preserve">ابن الملقن، جلال الدين عبد الرحمن بن علي عبد الرحمن بن علي بن عمر بن علي بن أحمد بن محمد بن عبد الله الأندلسي الأصل المصري الأنصاري أقضى القضاة جلال الدين أبو هريرة، بن أقضى القضاة نور الدين أبي الحسن بن شيخ الإسلام، سراج الدين أبي حفص بن العلامة أبي الحسن النحوي، الشهير بأبن الملقن. ولد في رمضان سنة تسعين وسبعمائة. وسمع على جده وعلى ابن أبي المجد، والتنوخي، والسويداوي. وأجاز له العراقي، وقاضي القضاء صدر الدين المناوي، والكمال الدميري. وتفقه على البرهان البيجوري. وولي مشيخة السابقية وتدريس الحديث بالكاملية، وغير ذلك من تداريس أبيه وجده، مع الجلالة، وحسن الهيئة، وحسن السيرة، والسكينة والوقار، والإنجماع عن الناس. مات في شوال سنة 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2026-07-28T14:06:17+03:00</dcterms:created>
  <dcterms:modified xsi:type="dcterms:W3CDTF">2026-07-28T14:06:17+03:00</dcterms:modified>
</cp:coreProperties>
</file>

<file path=docProps/custom.xml><?xml version="1.0" encoding="utf-8"?>
<Properties xmlns="http://schemas.openxmlformats.org/officeDocument/2006/custom-properties" xmlns:vt="http://schemas.openxmlformats.org/officeDocument/2006/docPropsVTypes"/>
</file>