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ظهير الدين ابن العطار
</w:t>
      </w:r>
    </w:p>
    <w:p>
      <w:pPr>
        <w:jc w:val="start"/>
        <w:bidi/>
      </w:pPr>
      <w:r>
        <w:rPr>
          <w:rFonts w:ascii="arial" w:hAnsi="arial" w:eastAsia="arial" w:cs="arial"/>
          <w:sz w:val="28"/>
          <w:szCs w:val="28"/>
          <w:b w:val="1"/>
          <w:bCs w:val="1"/>
          <w:rtl/>
        </w:rPr>
        <w:t xml:space="preserve">ظهير الدين ابن العطار
</w:t>
      </w:r>
    </w:p>
    <w:p>
      <w:pPr/>
      <w:r>
        <w:rPr/>
        <w:t xml:space="preserve">ظهير الدين ابن العطار  منصور بن نصر بن الحسين الحراني ثم البغدادي، ابو بكر، ظهير الدين ابن العطار: وزير كاتب. كان صاحب (المخزن) للخلفاء، ونائب الوزارة بمصر. ولم تحسن سيرته. ولى الوزراة للمستضئ العباسي (سنة 573هـ) ببغداد، بعد مقتل الوزير ابن هبيرة. وكان ظهير الدين سبب قتله. قال ابن خلدون: فاستولى على الدولة وتحكم بها. وقال سبط ابن الجوزي: كان في عزمه (يعني ظهير الدين) ان يولى الخلافة (ابا منصور) فانخرمت عليه القاعدة، فلما بويع الامام الناصر، لم يحضر، واعتذر بالمرض، فقبض عليه الناصر وحبسه اياما وارخجه من محبسه ميتا، وفيه آثار الضرب. وفي البداية والنهاية: في 7 ذي القعدة (575) عزل صاحب المخزن ظهير الدين ابن العطار واهين غاية الاهانة هو واصحابه وقتل خلق منهم وشهر في البلد.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2026-10-08T20:32:15+03:00</dcterms:created>
  <dcterms:modified xsi:type="dcterms:W3CDTF">2026-10-08T20:32:15+03:00</dcterms:modified>
</cp:coreProperties>
</file>

<file path=docProps/custom.xml><?xml version="1.0" encoding="utf-8"?>
<Properties xmlns="http://schemas.openxmlformats.org/officeDocument/2006/custom-properties" xmlns:vt="http://schemas.openxmlformats.org/officeDocument/2006/docPropsVTypes"/>
</file>