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بركوت المكيني، الصلاح أحمد
</w:t>
      </w:r>
    </w:p>
    <w:p>
      <w:pPr>
        <w:jc w:val="start"/>
        <w:bidi/>
      </w:pPr>
      <w:r>
        <w:rPr>
          <w:rFonts w:ascii="arial" w:hAnsi="arial" w:eastAsia="arial" w:cs="arial"/>
          <w:sz w:val="28"/>
          <w:szCs w:val="28"/>
          <w:b w:val="1"/>
          <w:bCs w:val="1"/>
          <w:rtl/>
        </w:rPr>
        <w:t xml:space="preserve">ابن بركوت المكيني، الصلاح أحمد
</w:t>
      </w:r>
    </w:p>
    <w:p>
      <w:pPr/>
      <w:r>
        <w:rPr/>
        <w:t xml:space="preserve">ابن بركوت المكيني، الصلاح أحمد أحمد بن محمد بن بركوت الحبشي المكيني ولاء الشافعي، قاضي القضاة صلاح الدين، ربيب شيخنا قاضي القضاة، علم الدين البلقيني. ولد سنة إحدى وعشرين وثمانمائة. وكان اسمه أولا أمير حاج فغيره إلى أحمد. وتفقه على شيخنا المذكور وتقدم عنده حتى على ولده. وولي الحسبة في حياته. ثم لما مات وولي شيخنا المناوي، سعى عليه في القضا إلى أن عزل ووليه سنة سبعين، فكان أول وهن دخل على منصب الشرع، ولم يمكث فيه سوى ستة أشهر. ثم عزل واستمر معزولا إلى أن مات في سنة إحدى وثمانين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2026-07-28T12:01:35+03:00</dcterms:created>
  <dcterms:modified xsi:type="dcterms:W3CDTF">2026-07-28T12:01:35+03:00</dcterms:modified>
</cp:coreProperties>
</file>

<file path=docProps/custom.xml><?xml version="1.0" encoding="utf-8"?>
<Properties xmlns="http://schemas.openxmlformats.org/officeDocument/2006/custom-properties" xmlns:vt="http://schemas.openxmlformats.org/officeDocument/2006/docPropsVTypes"/>
</file>