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منصور
</w:t>
      </w:r>
    </w:p>
    <w:p>
      <w:pPr>
        <w:jc w:val="start"/>
        <w:bidi/>
      </w:pPr>
      <w:r>
        <w:rPr>
          <w:rFonts w:ascii="arial" w:hAnsi="arial" w:eastAsia="arial" w:cs="arial"/>
          <w:sz w:val="28"/>
          <w:szCs w:val="28"/>
          <w:b w:val="1"/>
          <w:bCs w:val="1"/>
          <w:rtl/>
        </w:rPr>
        <w:t xml:space="preserve">الشريف منصور
</w:t>
      </w:r>
    </w:p>
    <w:p>
      <w:pPr/>
      <w:r>
        <w:rPr/>
        <w:t xml:space="preserve">الشريف منصور  منصور بن ناصر بن محمد الحسني التهامي: امير صبيا (وكانت تابعة لابي عريش) عرف بالشجاعة والدهاء. ونعت بالملك العادل. وكان مرجع (الجعافرة) وفي ايامه استولى آل سعود على (صبيا) فانتقل منها بإذن عمه الشريف حمود إلى ابي عريش. وترك السعوديون (صبيا) ولم يعده عمه إلى إمارتها، فرحل إلى الشمال (سنة 1230هـ) مغاضبا لعمه، ودخل في طاعة الاتراك بمكة. وعاد مع جيش منهم لقتال عمه، فلما كانوا في جبال السراة ثبت لهم رجال الشريف حمود فانهزم الاتراك وقتل الشريف منصور. </w:t>
      </w:r>
    </w:p>
    <w:p>
      <w:pPr>
        <w:jc w:val="start"/>
        <w:bidi/>
      </w:pPr>
      <w:r>
        <w:rPr>
          <w:sz w:val="24"/>
          <w:szCs w:val="24"/>
          <w:b w:val="1"/>
          <w:bCs w:val="1"/>
          <w:rtl/>
        </w:rPr>
        <w:t xml:space="preserve">
الأعلام،(دار العلم للملايين - بيروت،2002،ط 15،ج 7،ص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2026-07-29T04:50:48+03:00</dcterms:created>
  <dcterms:modified xsi:type="dcterms:W3CDTF">2026-07-29T04:50:48+03:00</dcterms:modified>
</cp:coreProperties>
</file>

<file path=docProps/custom.xml><?xml version="1.0" encoding="utf-8"?>
<Properties xmlns="http://schemas.openxmlformats.org/officeDocument/2006/custom-properties" xmlns:vt="http://schemas.openxmlformats.org/officeDocument/2006/docPropsVTypes"/>
</file>