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محمد بن موسى بن حمود الماكسيني
</w:t>
      </w:r>
    </w:p>
    <w:p>
      <w:pPr>
        <w:jc w:val="start"/>
        <w:bidi/>
      </w:pPr>
      <w:r>
        <w:rPr>
          <w:rFonts w:ascii="arial" w:hAnsi="arial" w:eastAsia="arial" w:cs="arial"/>
          <w:sz w:val="28"/>
          <w:szCs w:val="28"/>
          <w:b w:val="1"/>
          <w:bCs w:val="1"/>
          <w:rtl/>
        </w:rPr>
        <w:t xml:space="preserve">موسى بن محمد بن موسى بن حمود الماكسيني
</w:t>
      </w:r>
    </w:p>
    <w:p>
      <w:pPr/>
      <w:r>
        <w:rPr/>
        <w:t xml:space="preserve">موسى بن محمد بن موسى بن حمود الماكسيني .............</w:t>
      </w:r>
    </w:p>
    <w:p>
      <w:pPr>
        <w:jc w:val="start"/>
        <w:bidi/>
      </w:pPr>
      <w:r>
        <w:rPr>
          <w:sz w:val="24"/>
          <w:szCs w:val="24"/>
          <w:b w:val="1"/>
          <w:bCs w:val="1"/>
          <w:rtl/>
        </w:rPr>
        <w:t xml:space="preserve">
طبقات الشافعية الكبرى،(دار هجر - القاهرة،1992،ط 2،ج 8،ص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محمد بن موسى بن حمود الماكسيني
</w:t>
      </w:r>
    </w:p>
    <w:p>
      <w:pPr/>
      <w:r>
        <w:rPr/>
        <w:t xml:space="preserve">موسى بن محمد بن موسى بن حمود الماكسيني </w:t>
      </w:r>
    </w:p>
    <w:p/>
    <w:p>
      <w:pPr/>
      <w:r>
        <w:rPr/>
        <w:t xml:space="preserve">حفيد موسى بن حمود المتقدم. تفقه بالموصل على أبي حامد محمد بن يونس، وعلى أبي المظفر محمد بن علوان بن مهاجر، وأعاد بالمدرسة الفخرية، ومات بملطية من بلاد الروم في شهر ربيع الأخر سنة ست وستمائة. ترجمة ابن باطيش.</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2026-07-28T22:00:10+03:00</dcterms:created>
  <dcterms:modified xsi:type="dcterms:W3CDTF">2026-07-28T22:00:10+03:00</dcterms:modified>
</cp:coreProperties>
</file>

<file path=docProps/custom.xml><?xml version="1.0" encoding="utf-8"?>
<Properties xmlns="http://schemas.openxmlformats.org/officeDocument/2006/custom-properties" xmlns:vt="http://schemas.openxmlformats.org/officeDocument/2006/docPropsVTypes"/>
</file>