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رومانس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رومانس
</w:t>
      </w:r>
    </w:p>
    <w:p>
      <w:pPr/>
      <w:r>
        <w:rPr/>
        <w:t xml:space="preserve">ابن رومانس  المنذر بن وبرة الكلبي، من بني كلب ابن وبرة: شاعر جاهللي ادرك الاسلام. اشتهر بنسبته إلى امه (رومانس) وهو اخو (النعمان بن المنذر اللخمي) لامه. عاش إلى مابعد فتح الحيرة (سنة 12 هـ) وقال في رثاء ملوكها:</w:t>
      </w:r>
    </w:p>
    <w:p/>
    <w:p>
      <w:pPr>
        <w:jc w:val="center"/>
      </w:pPr>
      <w:r>
        <w:rPr>
          <w:color w:val="ff0000"/>
        </w:rPr>
        <w:t xml:space="preserve">ولهم كان كل من ضرب العيـ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ـر، بنجد إلى تخوم العراق</w:t>
      </w:r>
    </w:p>
    <w:p/>
    <w:p>
      <w:pPr/>
      <w:r>
        <w:rPr/>
        <w:t xml:space="preserve">من ابيات اوردها المرزباني، وفسرها.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وبرة الكلبي
</w:t>
      </w:r>
    </w:p>
    <w:p>
      <w:pPr/>
      <w:r>
        <w:rPr/>
        <w:t xml:space="preserve">المنذر بن وبرة الكلبي ذكره المرزباني في معجم الشعراء، وقال: مخضرم، يقول لما فتحت الحيرة:</w:t>
      </w:r>
    </w:p>
    <w:p/>
    <w:p>
      <w:pPr>
        <w:jc w:val="center"/>
      </w:pPr>
      <w:r>
        <w:rPr>
          <w:color w:val="ff0000"/>
        </w:rPr>
        <w:t xml:space="preserve">ما فلاحي بعد الألى ملكوا الحيرة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 ما إن أرى لهم من باق</w:t>
      </w:r>
    </w:p>
    <w:p/>
    <w:p>
      <w:pPr>
        <w:jc w:val="center"/>
      </w:pPr>
      <w:r>
        <w:rPr>
          <w:color w:val="ff0000"/>
        </w:rPr>
        <w:t xml:space="preserve">ولهم ما سقى الفرات إلى دجلة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 يحيا لهم من الآفاق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2026-10-08T18:34:11+03:00</dcterms:created>
  <dcterms:modified xsi:type="dcterms:W3CDTF">2026-10-08T18:34:11+03:00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