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حرملة الطائي القحطاني
</w:t>
      </w:r>
    </w:p>
    <w:p>
      <w:pPr>
        <w:jc w:val="start"/>
        <w:bidi/>
      </w:pPr>
      <w:r>
        <w:rPr>
          <w:rFonts w:ascii="arial" w:hAnsi="arial" w:eastAsia="arial" w:cs="arial"/>
          <w:sz w:val="28"/>
          <w:szCs w:val="28"/>
          <w:b w:val="1"/>
          <w:bCs w:val="1"/>
          <w:rtl/>
        </w:rPr>
        <w:t xml:space="preserve">ابو زبيد
</w:t>
      </w:r>
    </w:p>
    <w:p>
      <w:pPr/>
      <w:r>
        <w:rPr/>
        <w:t xml:space="preserve">ابو زبيد  المنذر بن حرملة الطائي القحطاني، ابو زبيد: شاعر نديم معمر، من نصارى طئ. عاش زمنا في الجاهلية، وكان يزور الملوك ولاسيما ملوك العجم لعلمه بسيرهم. وادرك الاسلام ولم يسلم. وكان يدخل مكة متنكرا. واستعمله (عمر) على صدقات قومه. قال البغدادي: ولم يستعمل نصرانيا غيره. وكانت اقامته على الاكثر عند اخواله بني تغلب بالجزيرة الفراتية. وانقطع إلى منادمة (الوليد بن عقبة) ايام ولايته الكوفة، في عهد عثمان. وكان يفد على عثمان فيقربه ويدني مجلسه، لا طلاعه على اخبار من ادركهم من ملوك العرب والعجم. ومات بالكوفة او في باديتها، في زمن معاوية. وقيل: دفن على البليخ إلى جانب قبر الوليد ابن عقبة. والبليخ نهر بالرقة.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2026-10-08T18:21:28+03:00</dcterms:created>
  <dcterms:modified xsi:type="dcterms:W3CDTF">2026-10-08T18:21:28+03:00</dcterms:modified>
</cp:coreProperties>
</file>

<file path=docProps/custom.xml><?xml version="1.0" encoding="utf-8"?>
<Properties xmlns="http://schemas.openxmlformats.org/officeDocument/2006/custom-properties" xmlns:vt="http://schemas.openxmlformats.org/officeDocument/2006/docPropsVTypes"/>
</file>