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إسماعيل بن محمد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إسماعيل بن محمد البوشنجي
</w:t>
      </w:r>
    </w:p>
    <w:p>
      <w:pPr/>
      <w:r>
        <w:rPr/>
        <w:t xml:space="preserve">عبد الواحد بن إسماعيل بن محمد البوشنجي وهو والد الإمام إسماعيل البوشنجي</w:t>
      </w:r>
    </w:p>
    <w:p/>
    <w:p>
      <w:pPr/>
      <w:r>
        <w:rPr/>
        <w:t xml:space="preserve">وعليه تفقه أبو سعد إسماعيل بن أبي صالح المؤذن</w:t>
      </w:r>
    </w:p>
    <w:p/>
    <w:p>
      <w:pPr/>
      <w:r>
        <w:rPr/>
        <w:t xml:space="preserve">ذكره عبد الغافر وقال فيه الفقيه الفاضل الورع الدين من وجوه الفقهاء والمدرسين والمناظرين والعاملين بعلمهم الجارين على منهاج السلف الصالحين في لزوم الفضل والاشتغال بالعلم ولزوم الفقر والقناعة</w:t>
      </w:r>
    </w:p>
    <w:p/>
    <w:p>
      <w:pPr/>
      <w:r>
        <w:rPr/>
        <w:t xml:space="preserve">تفقه على أبي إبراهيم الفقيه الضرير</w:t>
      </w:r>
    </w:p>
    <w:p/>
    <w:p>
      <w:pPr/>
      <w:r>
        <w:rPr/>
        <w:t xml:space="preserve">ثم قال توفي كهلا في سابع عشرى المحرم سنة ثمانين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إسماعيل بن محمد البوشنجي
</w:t>
      </w:r>
    </w:p>
    <w:p>
      <w:pPr/>
      <w:r>
        <w:rPr/>
        <w:t xml:space="preserve">عبد الواحد بن إسماعيل بن محمد البوشنجي </w:t>
      </w:r>
    </w:p>
    <w:p/>
    <w:p>
      <w:pPr/>
      <w:r>
        <w:rPr/>
        <w:t xml:space="preserve">وهو والد إسماعيل البوشنجى، تقدم في الأصل.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2026-07-29T23:28:30+03:00</dcterms:created>
  <dcterms:modified xsi:type="dcterms:W3CDTF">2026-07-29T23:28:30+03:00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