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الجبار بن أحمد بن يوسف الرازي أبو القاسم الزاهد
</w:t>
      </w:r>
    </w:p>
    <w:p>
      <w:pPr>
        <w:jc w:val="start"/>
        <w:bidi/>
      </w:pPr>
      <w:r>
        <w:rPr>
          <w:rFonts w:ascii="arial" w:hAnsi="arial" w:eastAsia="arial" w:cs="arial"/>
          <w:sz w:val="28"/>
          <w:szCs w:val="28"/>
          <w:b w:val="1"/>
          <w:bCs w:val="1"/>
          <w:rtl/>
        </w:rPr>
        <w:t xml:space="preserve">عبد الجبار بن أحمد بن يوسف الرازي أبو القاسم الزاهد
</w:t>
      </w:r>
    </w:p>
    <w:p>
      <w:pPr/>
      <w:r>
        <w:rPr/>
        <w:t xml:space="preserve">عبد الجبار بن أحمد بن يوسف الرازي أبو القاسم الزاهد وقد سماه شيخنا الذهبي عبد الجليل</w:t>
      </w:r>
    </w:p>
    <w:p/>
    <w:p>
      <w:pPr/>
      <w:r>
        <w:rPr/>
        <w:t xml:space="preserve">تفقه على الخجندي بأصبهان ثم استوطن بغداد مدة ثم انتقل إلى بيت المقدس وسلك سبيل الورع والانقطاع إلى الله إلى أن استشهد على يد الفرنج خذلهم الله سنة اثنتين وتسعين وأربعمائة في شعبان</w:t>
      </w:r>
    </w:p>
    <w:p>
      <w:pPr>
        <w:jc w:val="start"/>
        <w:bidi/>
      </w:pPr>
      <w:r>
        <w:rPr>
          <w:sz w:val="24"/>
          <w:szCs w:val="24"/>
          <w:b w:val="1"/>
          <w:bCs w:val="1"/>
          <w:rtl/>
        </w:rPr>
        <w:t xml:space="preserve">
طبقات الشافعية الكبرى،(دار هجر - القاهرة،1992،ط 2،ج 5،ص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2026-07-29T05:23:37+03:00</dcterms:created>
  <dcterms:modified xsi:type="dcterms:W3CDTF">2026-07-29T05:23:37+03:00</dcterms:modified>
</cp:coreProperties>
</file>

<file path=docProps/custom.xml><?xml version="1.0" encoding="utf-8"?>
<Properties xmlns="http://schemas.openxmlformats.org/officeDocument/2006/custom-properties" xmlns:vt="http://schemas.openxmlformats.org/officeDocument/2006/docPropsVTypes"/>
</file>