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أبي سعد محمد بن منصور أبو المحاسن الجولكي
</w:t>
      </w:r>
    </w:p>
    <w:p>
      <w:pPr>
        <w:jc w:val="start"/>
        <w:bidi/>
      </w:pPr>
      <w:r>
        <w:rPr>
          <w:rFonts w:ascii="arial" w:hAnsi="arial" w:eastAsia="arial" w:cs="arial"/>
          <w:sz w:val="28"/>
          <w:szCs w:val="28"/>
          <w:b w:val="1"/>
          <w:bCs w:val="1"/>
          <w:rtl/>
        </w:rPr>
        <w:t xml:space="preserve">سعد بن أبي سعد محمد بن منصور أبو المحاسن الجولكي
</w:t>
      </w:r>
    </w:p>
    <w:p>
      <w:pPr/>
      <w:r>
        <w:rPr/>
        <w:t xml:space="preserve">سعد بن أبي سعد محمد بن منصور أبو المحاسن الجولكي بضم الجيم بعدها الواو الساكنة ثم اللام المفتوحة وفي آخرها الكاف نسبة إلى جولك رجل من الغزاة استشهد على باب رباط دهستان</w:t>
      </w:r>
    </w:p>
    <w:p/>
    <w:p>
      <w:pPr/>
      <w:r>
        <w:rPr/>
        <w:t xml:space="preserve">كان والده أبو سعد رجلا رئيسا من أهل جرجان ولي الرياسة بها إلى أن توفي فوليها بعده ولده هذا وكان ولده هذا يكنى أبا المحاسن</w:t>
      </w:r>
    </w:p>
    <w:p/>
    <w:p>
      <w:pPr/>
      <w:r>
        <w:rPr/>
        <w:t xml:space="preserve">وكان فقيها بارعا محققا مناظرا</w:t>
      </w:r>
    </w:p>
    <w:p/>
    <w:p>
      <w:pPr/>
      <w:r>
        <w:rPr/>
        <w:t xml:space="preserve">خلف أباه في حياته وهو ابن ثمان عشرة سنة</w:t>
      </w:r>
    </w:p>
    <w:p/>
    <w:p>
      <w:pPr/>
      <w:r>
        <w:rPr/>
        <w:t xml:space="preserve">وتخرجت به الفقهاء</w:t>
      </w:r>
    </w:p>
    <w:p/>
    <w:p>
      <w:pPr/>
      <w:r>
        <w:rPr/>
        <w:t xml:space="preserve">وروى عن جده لأمه أبي سعد وأبي نصر الإسماعيلي ووالده أبي سعد الجولكي وغيره</w:t>
      </w:r>
    </w:p>
    <w:p/>
    <w:p>
      <w:pPr/>
      <w:r>
        <w:rPr/>
        <w:t xml:space="preserve">ولد في جمادى الآخرة سنة ثمان وثمانين وثلاثمائة</w:t>
      </w:r>
    </w:p>
    <w:p/>
    <w:p>
      <w:pPr/>
      <w:r>
        <w:rPr/>
        <w:t xml:space="preserve">وكان الأمير فلك المعالي منوجهر بن قابوس وشمكير أمير جرجان وجهه إلى غزنة رسولا سنة إحدى عشرة وأربعمائة فخرج وعقد له مجلس النظر بنيسابور وهراة وغزنة ورجع سالما غانما موقرا</w:t>
      </w:r>
    </w:p>
    <w:p/>
    <w:p>
      <w:pPr/>
      <w:r>
        <w:rPr/>
        <w:t xml:space="preserve">قتل ظلما بأستراباذ في رجب سنة أربع وخمسين وأربعمائة</w:t>
      </w:r>
    </w:p>
    <w:p>
      <w:pPr>
        <w:jc w:val="start"/>
        <w:bidi/>
      </w:pPr>
      <w:r>
        <w:rPr>
          <w:sz w:val="24"/>
          <w:szCs w:val="24"/>
          <w:b w:val="1"/>
          <w:bCs w:val="1"/>
          <w:rtl/>
        </w:rPr>
        <w:t xml:space="preserve">
طبقات الشافعية الكبرى،(دار هجر - القاهرة،1992،ط 2،ج 4،ص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2026-07-29T01:23:07+03:00</dcterms:created>
  <dcterms:modified xsi:type="dcterms:W3CDTF">2026-07-29T01:23:07+03:00</dcterms:modified>
</cp:coreProperties>
</file>

<file path=docProps/custom.xml><?xml version="1.0" encoding="utf-8"?>
<Properties xmlns="http://schemas.openxmlformats.org/officeDocument/2006/custom-properties" xmlns:vt="http://schemas.openxmlformats.org/officeDocument/2006/docPropsVTypes"/>
</file>