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حبناء
</w:t>
      </w:r>
    </w:p>
    <w:p>
      <w:pPr>
        <w:jc w:val="start"/>
        <w:bidi/>
      </w:pPr>
      <w:r>
        <w:rPr>
          <w:rFonts w:ascii="arial" w:hAnsi="arial" w:eastAsia="arial" w:cs="arial"/>
          <w:sz w:val="28"/>
          <w:szCs w:val="28"/>
          <w:b w:val="1"/>
          <w:bCs w:val="1"/>
          <w:rtl/>
        </w:rPr>
        <w:t xml:space="preserve">ابن حبناء
</w:t>
      </w:r>
    </w:p>
    <w:p>
      <w:pPr/>
      <w:r>
        <w:rPr/>
        <w:t xml:space="preserve">ابن حبناء  المغيرة بن عمرو بن ربيعة الحنظلي التميمي: شاعر، اسلامي. كان من رجال المهلب بن ابي صفرة. يكنى ابا عيسى. اشتهر بنسبته إلى امه، وقيل: حبناء لقب غلب على ابيه لجبنه، واسمه حبين. وقال المرزباني: انفذ شعره في مدح المهلب وبنيه وذكر حربهم للازارقة. وكان هو واخواه (صخر ويزيد) شعراء فرسانا، وابوهم شاعر. وكان المغيرة يهاجى اخاه صخرا. ومات شهيدا في نسف (بين جيحون وسمرقند) على مقربة من بخارى. وكان ابرص. </w:t>
      </w:r>
    </w:p>
    <w:p>
      <w:pPr>
        <w:jc w:val="start"/>
        <w:bidi/>
      </w:pPr>
      <w:r>
        <w:rPr>
          <w:sz w:val="24"/>
          <w:szCs w:val="24"/>
          <w:b w:val="1"/>
          <w:bCs w:val="1"/>
          <w:rtl/>
        </w:rPr>
        <w:t xml:space="preserve">
الأعلام،(دار العلم للملايين - بيروت،2002،ط 15،ج 7،ص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2026-10-08T15:20:59+03:00</dcterms:created>
  <dcterms:modified xsi:type="dcterms:W3CDTF">2026-10-08T15:20:59+03:00</dcterms:modified>
</cp:coreProperties>
</file>

<file path=docProps/custom.xml><?xml version="1.0" encoding="utf-8"?>
<Properties xmlns="http://schemas.openxmlformats.org/officeDocument/2006/custom-properties" xmlns:vt="http://schemas.openxmlformats.org/officeDocument/2006/docPropsVTypes"/>
</file>