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أسد بن أحمد بن محمد الهروي 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أسد بن أحمد بن محمد الهروي أبو سعد
</w:t>
      </w:r>
    </w:p>
    <w:p>
      <w:pPr/>
      <w:r>
        <w:rPr/>
        <w:t xml:space="preserve">ربيعة بن أسد بن أحمد بن محمد الهروي أبو سعد قاضي الكرخ.</w:t>
      </w:r>
    </w:p>
    <w:p/>
    <w:p>
      <w:pPr/>
      <w:r>
        <w:rPr/>
        <w:t xml:space="preserve">فاضل معروف، من هراة.</w:t>
      </w:r>
    </w:p>
    <w:p/>
    <w:p>
      <w:pPr/>
      <w:r>
        <w:rPr/>
        <w:t xml:space="preserve">قاله في ’’ الجواهر ’’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2026-07-29T09:16:18+03:00</dcterms:created>
  <dcterms:modified xsi:type="dcterms:W3CDTF">2026-07-29T09:16:18+03:00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