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jc w:val="start"/>
        <w:bidi/>
      </w:pPr>
      <w:r>
        <w:rPr>
          <w:rFonts w:ascii="arial" w:hAnsi="arial" w:eastAsia="arial" w:cs="arial"/>
          <w:sz w:val="32"/>
          <w:szCs w:val="32"/>
          <w:b w:val="1"/>
          <w:bCs w:val="1"/>
          <w:rtl/>
        </w:rPr>
        <w:t xml:space="preserve">الحسين بن يوسف بن إسماعيل بن عبد الرحمن أبو عبد الله اللمغاني
</w:t>
      </w:r>
    </w:p>
    <w:p>
      <w:pPr>
        <w:jc w:val="start"/>
        <w:bidi/>
      </w:pPr>
      <w:r>
        <w:rPr>
          <w:rFonts w:ascii="arial" w:hAnsi="arial" w:eastAsia="arial" w:cs="arial"/>
          <w:sz w:val="28"/>
          <w:szCs w:val="28"/>
          <w:b w:val="1"/>
          <w:bCs w:val="1"/>
          <w:rtl/>
        </w:rPr>
        <w:t xml:space="preserve">الحسين بن يوسف بن إسماعيل بن عبد الرحمن أبو عبد الله اللمغاني
</w:t>
      </w:r>
    </w:p>
    <w:p>
      <w:pPr/>
      <w:r>
        <w:rPr/>
        <w:t xml:space="preserve">الحسين بن يوسف بن إسماعيل بن عبد الرحمن أبو عبد الله اللمغاني تفقه على والده، ودرس بعد وفاته.</w:t>
      </w:r>
    </w:p>
    <w:p/>
    <w:p>
      <w:pPr/>
      <w:r>
        <w:rPr/>
        <w:t xml:space="preserve">وشهد عند قاضي القضاة أبي القاسم عبد الله بن الحسيم الدامغاني، يوم الجمعة، لسبع خلون من المحرم، عن سنة أربع وستمائة، فقبل شهادته.</w:t>
      </w:r>
    </w:p>
    <w:p/>
    <w:p>
      <w:pPr/>
      <w:r>
        <w:rPr/>
        <w:t xml:space="preserve">ورتب في عدة أشكال، ولم تحمد سيرته فيها، وظهر منه أحوال اقتضت عزله عن الشهادة، واعتقل مدة. وحدث بشيء يسير.</w:t>
      </w:r>
    </w:p>
    <w:p/>
    <w:p>
      <w:pPr/>
      <w:r>
        <w:rPr/>
        <w:t xml:space="preserve">وكان مولده في منتصف شهر ربيع الأول، سنة ثلاث وسبعين وخمسمائة.</w:t>
      </w:r>
    </w:p>
    <w:p/>
    <w:p>
      <w:pPr/>
      <w:r>
        <w:rPr/>
        <w:t xml:space="preserve">وتقدم جده إسماعيل، ويأتي أبوه وجد أبيه عبد الرحمن، إن شاء الله تعالى.</w:t>
      </w:r>
    </w:p>
    <w:p>
      <w:pPr>
        <w:jc w:val="start"/>
        <w:bidi/>
      </w:pPr>
      <w:r>
        <w:rPr>
          <w:sz w:val="24"/>
          <w:szCs w:val="24"/>
          <w:b w:val="1"/>
          <w:bCs w:val="1"/>
          <w:rtl/>
        </w:rPr>
        <w:t xml:space="preserve">
الطبقات السنية في تراجم الحنفية،(دار الرفاعي - الرياض،1983،ط 0،ج 1،ص 260)</w:t>
      </w:r>
    </w:p>
    <w:p>
      <w:pPr>
        <w:jc w:val="center"/>
      </w:pPr>
      <w:r>
        <w:rPr>
          <w:sz w:val="24"/>
          <w:szCs w:val="24"/>
          <w:b w:val="1"/>
          <w:bCs w:val="1"/>
          <w:rtl/>
        </w:rPr>
        <w:t xml:space="preserve">=====================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jc w:val="both"/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  <w:style w:type="paragraph" w:styleId="Heading1">
    <w:link w:val="Heading1Char"/>
    <w:name w:val="heading 1"/>
    <w:rPr>
      <w:rFonts w:ascii="arial" w:hAnsi="arial" w:eastAsia="arial" w:cs="arial"/>
      <w:sz w:val="28"/>
      <w:szCs w:val="28"/>
      <w:b w:val="1"/>
      <w:bCs w:val="1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2026-07-30T03:35:19+03:00</dcterms:created>
  <dcterms:modified xsi:type="dcterms:W3CDTF">2026-07-30T03:35:19+03:00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