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بن محمود بن علي بن عبد الصمد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محمود بن علي بن عبد الصمد الرازي
</w:t>
      </w:r>
    </w:p>
    <w:p>
      <w:pPr/>
      <w:r>
        <w:rPr/>
        <w:t xml:space="preserve">حامد بن محمود بن علي بن عبد الصمد الرازي من أهل الري.</w:t>
      </w:r>
    </w:p>
    <w:p/>
    <w:p>
      <w:pPr/>
      <w:r>
        <w:rPr/>
        <w:t xml:space="preserve">تفقه بنيسابور على أبي النصر الأرغياني، وببخارى على الحسام بن البرهان، وبرع في الفقه.</w:t>
      </w:r>
    </w:p>
    <w:p/>
    <w:p>
      <w:pPr/>
      <w:r>
        <w:rPr/>
        <w:t xml:space="preserve">وكانت ولادته سنة نيف وتسعين وأربعمائة،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2026-07-28T01:09:42+03:00</dcterms:created>
  <dcterms:modified xsi:type="dcterms:W3CDTF">2026-07-28T01:09:42+03:00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