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الأرناؤوط
</w:t>
      </w:r>
    </w:p>
    <w:p>
      <w:pPr>
        <w:jc w:val="start"/>
        <w:bidi/>
      </w:pPr>
      <w:r>
        <w:rPr>
          <w:rFonts w:ascii="arial" w:hAnsi="arial" w:eastAsia="arial" w:cs="arial"/>
          <w:sz w:val="28"/>
          <w:szCs w:val="28"/>
          <w:b w:val="1"/>
          <w:bCs w:val="1"/>
          <w:rtl/>
        </w:rPr>
        <w:t xml:space="preserve">الأرناؤوط
</w:t>
      </w:r>
    </w:p>
    <w:p>
      <w:pPr/>
      <w:r>
        <w:rPr/>
        <w:t xml:space="preserve">الأرناؤوط معروف بن أحمد الأرناؤوط: كاتب صحفي، من أعضاء المجمع العلمي العربي بدمشق. ألباني الأصل. انتقل جده، والد أحمد إلى بيروت. وولد معروف ونشأ فيها. وعمل كاتبا في بعض صحفها. وترجم عن الفرنسية كثيرا من القصص الصغيرة. وانتقل إلى دمشق في أواخر الحرب العامة الأولى، فأصدر جريدة (فتى العرب) يوم جلاء الترك عن دمشق (سنة 1918) واستمرت يومية إلى أن توفي بدمشق. من كتبه (سيد قريش - ط) ثلاثة أجزاء، و (عمر بن الخطاب - ط) جزان، و (فاطمة البتول - ط) و (طارق بن زياد - ط) الجزء الأول، و (فردوس المعري - ط) رسالة وعدة قصص مسرحية. </w:t>
      </w:r>
    </w:p>
    <w:p>
      <w:pPr>
        <w:jc w:val="start"/>
        <w:bidi/>
      </w:pPr>
      <w:r>
        <w:rPr>
          <w:sz w:val="24"/>
          <w:szCs w:val="24"/>
          <w:b w:val="1"/>
          <w:bCs w:val="1"/>
          <w:rtl/>
        </w:rPr>
        <w:t xml:space="preserve">
الأعلام،(دار العلم للملايين - بيروت،2002،ط 15،ج 7،ص 268)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2026-10-08T13:15:40+03:00</dcterms:created>
  <dcterms:modified xsi:type="dcterms:W3CDTF">2026-10-08T13:15:40+03:00</dcterms:modified>
</cp:coreProperties>
</file>

<file path=docProps/custom.xml><?xml version="1.0" encoding="utf-8"?>
<Properties xmlns="http://schemas.openxmlformats.org/officeDocument/2006/custom-properties" xmlns:vt="http://schemas.openxmlformats.org/officeDocument/2006/docPropsVTypes"/>
</file>