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 بن رجاء أبو بكر، الأربنجني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موسى بن رجاء أبو بكر، الأربنجني
</w:t>
      </w:r>
    </w:p>
    <w:p>
      <w:pPr/>
      <w:r>
        <w:rPr/>
        <w:t xml:space="preserve">أحمد بن محمد بن موسى بن رجاء أبو بكر، الأربنجني قال السمعاني: كان فقيها حنفيا.</w:t>
      </w:r>
    </w:p>
    <w:p/>
    <w:p>
      <w:pPr/>
      <w:r>
        <w:rPr/>
        <w:t xml:space="preserve">توفي سنة تسع وستين وثلاثمائة.</w:t>
      </w:r>
    </w:p>
    <w:p/>
    <w:p>
      <w:pPr/>
      <w:r>
        <w:rPr/>
        <w:t xml:space="preserve">وسيأتي الكلام على هذه النسبة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2026-07-29T07:28:24+03:00</dcterms:created>
  <dcterms:modified xsi:type="dcterms:W3CDTF">2026-07-29T07:28:24+03:00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