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خاص التركي شهاب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خاص التركي شهاب الدين
</w:t>
      </w:r>
    </w:p>
    <w:p>
      <w:pPr/>
      <w:r>
        <w:rPr/>
        <w:t xml:space="preserve">أحمد بن خاص التركي شهاب الدين أحد الفضلاء المتميزين من الحنفية.</w:t>
      </w:r>
    </w:p>
    <w:p/>
    <w:p>
      <w:pPr/>
      <w:r>
        <w:rPr/>
        <w:t xml:space="preserve">أخذ عنه بدر الدين العيني، وكان يطريه. كذا قال ابن حجر.</w:t>
      </w:r>
    </w:p>
    <w:p/>
    <w:p>
      <w:pPr/>
      <w:r>
        <w:rPr/>
        <w:t xml:space="preserve">وذكره السخاوي، في ’’ الضوء اللامع ’’ وقال: أكثر الاشتغال بالفقه والحديث، ليلا ونهارا، وكتب كثيرا، وجمع، ودرس.</w:t>
      </w:r>
    </w:p>
    <w:p/>
    <w:p>
      <w:pPr/>
      <w:r>
        <w:rPr/>
        <w:t xml:space="preserve">ومات في سنة تسع.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2026-07-28T22:47:43+03:00</dcterms:created>
  <dcterms:modified xsi:type="dcterms:W3CDTF">2026-07-28T22:47:43+03:00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