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حسن اليحصبي البروني التلمساني
</w:t>
      </w:r>
    </w:p>
    <w:p>
      <w:pPr>
        <w:jc w:val="start"/>
        <w:bidi/>
      </w:pPr>
      <w:r>
        <w:rPr>
          <w:rFonts w:ascii="arial" w:hAnsi="arial" w:eastAsia="arial" w:cs="arial"/>
          <w:sz w:val="28"/>
          <w:szCs w:val="28"/>
          <w:b w:val="1"/>
          <w:bCs w:val="1"/>
          <w:rtl/>
        </w:rPr>
        <w:t xml:space="preserve">محمد بن محمد بن حسن اليحصبي البروني التلمساني
</w:t>
      </w:r>
    </w:p>
    <w:p>
      <w:pPr/>
      <w:r>
        <w:rPr/>
        <w:t xml:space="preserve">محمد بن محمد بن حسن اليحصبي البروني التلمساني استقر ببلد الجزائر فقيه في المذهب موصوف بالعلم والإتقان حاز رياسة العلم في قطره حسن التعليم أخذ العلم على بني الإمام أبي زيد وأخيه أبي موسى وعن أبي عبد الله الآبلي والفقيه عمران المشذالي وغيرهم وقد انفرد بمعرفة مختصر بن الحاجب الفقهي وله عليه شرح قارب إكماله وهو باق بالحياة نفع الله به.</w:t>
      </w:r>
    </w:p>
    <w:p>
      <w:pPr>
        <w:jc w:val="start"/>
        <w:bidi/>
      </w:pPr>
      <w:r>
        <w:rPr>
          <w:sz w:val="24"/>
          <w:szCs w:val="24"/>
          <w:b w:val="1"/>
          <w:bCs w:val="1"/>
          <w:rtl/>
        </w:rPr>
        <w:t xml:space="preserve">
الديباج المذهب في معرفة أعيان علماء المذهب،(دار التراث للطبع والنشر - القاهرة،2005،ط 1،ج 2،ص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2026-07-28T21:16:23+03:00</dcterms:created>
  <dcterms:modified xsi:type="dcterms:W3CDTF">2026-07-28T21:16:23+03:00</dcterms:modified>
</cp:coreProperties>
</file>

<file path=docProps/custom.xml><?xml version="1.0" encoding="utf-8"?>
<Properties xmlns="http://schemas.openxmlformats.org/officeDocument/2006/custom-properties" xmlns:vt="http://schemas.openxmlformats.org/officeDocument/2006/docPropsVTypes"/>
</file>