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علي الغساني
</w:t>
      </w:r>
    </w:p>
    <w:p>
      <w:pPr>
        <w:jc w:val="start"/>
        <w:bidi/>
      </w:pPr>
      <w:r>
        <w:rPr>
          <w:rFonts w:ascii="arial" w:hAnsi="arial" w:eastAsia="arial" w:cs="arial"/>
          <w:sz w:val="28"/>
          <w:szCs w:val="28"/>
          <w:b w:val="1"/>
          <w:bCs w:val="1"/>
          <w:rtl/>
        </w:rPr>
        <w:t xml:space="preserve">محمد بن أحمد بن محمد بن علي الغساني
</w:t>
      </w:r>
    </w:p>
    <w:p>
      <w:pPr/>
      <w:r>
        <w:rPr/>
        <w:t xml:space="preserve">محمد بن أحمد بن محمد بن علي الغساني من أهل مالقة يكنى أبا بكر ويعرف بابن حفيد الأمين كان فقيها جليلا حافظا لفروع الفقه إماما منقبضا يدرس مختصر بن الحاجب الفرعي عمره وعرضه في مجلس واحد واجتهد اجتهادا كثيرا ورحل إلى المشرق فحج ورجع إلى الأندلس وكان أكثر أهل بيته تواضعا وأملحهم خلقا جميل الاعتقاد في الناس متحليا بالصدق والعفاف مثابرا على الخير حسن العهد على سنن الصالحين متقشفا. توفي عام ستة وثلاثين وسبعمائة أو في حدوده.</w:t>
      </w:r>
    </w:p>
    <w:p/>
    <w:p>
      <w:pPr/>
      <w:r>
        <w:rPr/>
        <w:t xml:space="preserve">قلت: هذان المذكوران أخوان ولهم أخ ثالث: اسمه أيضا: محمد ويكنى أبا الحكم. من أهل العلم والدين المتين جلس للتدريس في الجامع الأعظم بعد موت أخيه أبي القاسم وكان خطيبا. وتوفي عام تسعة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2026-07-28T20:06:20+03:00</dcterms:created>
  <dcterms:modified xsi:type="dcterms:W3CDTF">2026-07-28T20:06:20+03:00</dcterms:modified>
</cp:coreProperties>
</file>

<file path=docProps/custom.xml><?xml version="1.0" encoding="utf-8"?>
<Properties xmlns="http://schemas.openxmlformats.org/officeDocument/2006/custom-properties" xmlns:vt="http://schemas.openxmlformats.org/officeDocument/2006/docPropsVTypes"/>
</file>