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سعد بن عيشون
</w:t>
      </w:r>
    </w:p>
    <w:p>
      <w:pPr>
        <w:jc w:val="start"/>
        <w:bidi/>
      </w:pPr>
      <w:r>
        <w:rPr>
          <w:rFonts w:ascii="arial" w:hAnsi="arial" w:eastAsia="arial" w:cs="arial"/>
          <w:sz w:val="28"/>
          <w:szCs w:val="28"/>
          <w:b w:val="1"/>
          <w:bCs w:val="1"/>
          <w:rtl/>
        </w:rPr>
        <w:t xml:space="preserve">محمد بن عمر بن سعد بن عيشون
</w:t>
      </w:r>
    </w:p>
    <w:p>
      <w:pPr/>
      <w:r>
        <w:rPr/>
        <w:t xml:space="preserve">محمد بن عمر بن سعد بن عيشون روى عنه ابنه وقاسم بن أصبغ وغيره من القرطبيين وسمع من شيوخ بلده وبمكة ومصر والشام والقيروان من بن الأعرابي وأبي الحسن الجلا والخزاعي والقشيري وأبي مروان المالكي وغيرهم.</w:t>
      </w:r>
    </w:p>
    <w:p/>
    <w:p>
      <w:pPr/>
      <w:r>
        <w:rPr/>
        <w:t xml:space="preserve">وحدث بكثير روى عنه أبو الأصبغ الحزم بن أبي درهم وابن الفرضي وغيرهما. فقيه حافظ للمسائل ولي قضاء بلده. ومحمد هذا ربما اشتبه مع محمد بن عبد الله بن عيشون إلا على من يحققهما.</w:t>
      </w:r>
    </w:p>
    <w:p>
      <w:pPr>
        <w:jc w:val="start"/>
        <w:bidi/>
      </w:pPr>
      <w:r>
        <w:rPr>
          <w:sz w:val="24"/>
          <w:szCs w:val="24"/>
          <w:b w:val="1"/>
          <w:bCs w:val="1"/>
          <w:rtl/>
        </w:rPr>
        <w:t xml:space="preserve">
الديباج المذهب في معرفة أعيان علماء المذهب،(دار التراث للطبع والنشر - القاهرة،2005،ط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2026-07-27T23:28:51+03:00</dcterms:created>
  <dcterms:modified xsi:type="dcterms:W3CDTF">2026-07-27T23:28:51+03:00</dcterms:modified>
</cp:coreProperties>
</file>

<file path=docProps/custom.xml><?xml version="1.0" encoding="utf-8"?>
<Properties xmlns="http://schemas.openxmlformats.org/officeDocument/2006/custom-properties" xmlns:vt="http://schemas.openxmlformats.org/officeDocument/2006/docPropsVTypes"/>
</file>