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الطراح
</w:t>
      </w:r>
    </w:p>
    <w:p>
      <w:pPr>
        <w:jc w:val="start"/>
        <w:bidi/>
      </w:pPr>
      <w:r>
        <w:rPr>
          <w:rFonts w:ascii="arial" w:hAnsi="arial" w:eastAsia="arial" w:cs="arial"/>
          <w:sz w:val="28"/>
          <w:szCs w:val="28"/>
          <w:b w:val="1"/>
          <w:bCs w:val="1"/>
          <w:rtl/>
        </w:rPr>
        <w:t xml:space="preserve">ابن الطراح
</w:t>
      </w:r>
    </w:p>
    <w:p>
      <w:pPr/>
      <w:r>
        <w:rPr/>
        <w:t xml:space="preserve">ابن الطراح  مظفر بن الطراح، فخر الدين: من رجال العصر المغولي في العراق. كان صدر واسط والبصرة. وولي نيابة الحكم في واسط (سنة 660هـ) وعزل وحبس (سنة672) واطلق وعين صدرا للحلة والكوفة والسيب (سنة673) وأعيد إلى الحكم في واسط (سنة677) وانتهى أمره بالقبض عليه وحبسه في بغداد وقتله فيها. وحمل رأسه إلى واسط، فطيف به شوارعها وعلق على جسرها. وكان جوادا حازما مهيبا، يقول الشعر الجيد. عاش ستين سنة ونيفا. </w:t>
      </w:r>
    </w:p>
    <w:p>
      <w:pPr>
        <w:jc w:val="start"/>
        <w:bidi/>
      </w:pPr>
      <w:r>
        <w:rPr>
          <w:sz w:val="24"/>
          <w:szCs w:val="24"/>
          <w:b w:val="1"/>
          <w:bCs w:val="1"/>
          <w:rtl/>
        </w:rPr>
        <w:t xml:space="preserve">
الأعلام،(دار العلم للملايين - بيروت،2002،ط 15،ج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الطراح الصاحب محيي الدين
</w:t>
      </w:r>
    </w:p>
    <w:p>
      <w:pPr/>
      <w:r>
        <w:rPr/>
        <w:t xml:space="preserve">ابن الطراح الصاحب محيي الدين مظفر بن الطراح.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2026-07-27T23:42:29+03:00</dcterms:created>
  <dcterms:modified xsi:type="dcterms:W3CDTF">2026-07-27T23:42:29+03:00</dcterms:modified>
</cp:coreProperties>
</file>

<file path=docProps/custom.xml><?xml version="1.0" encoding="utf-8"?>
<Properties xmlns="http://schemas.openxmlformats.org/officeDocument/2006/custom-properties" xmlns:vt="http://schemas.openxmlformats.org/officeDocument/2006/docPropsVTypes"/>
</file>