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الحكيم بن أبي الحسن بن عبد الملك بن يحيى
</w:t>
      </w:r>
    </w:p>
    <w:p>
      <w:pPr>
        <w:jc w:val="start"/>
        <w:bidi/>
      </w:pPr>
      <w:r>
        <w:rPr>
          <w:rFonts w:ascii="arial" w:hAnsi="arial" w:eastAsia="arial" w:cs="arial"/>
          <w:sz w:val="28"/>
          <w:szCs w:val="28"/>
          <w:b w:val="1"/>
          <w:bCs w:val="1"/>
          <w:rtl/>
        </w:rPr>
        <w:t xml:space="preserve">عبد الحكيم بن أبي الحسن بن عبد الملك بن يحيى
</w:t>
      </w:r>
    </w:p>
    <w:p>
      <w:pPr/>
      <w:r>
        <w:rPr/>
        <w:t xml:space="preserve">عبد الحكيم بن أبي الحسن بن عبد الملك بن يحيى أصله من قطر مراكش كان من أهل المعرفة بالفقه وأصوله على طريقة المتأخرين وكان كتابه المعالم لابن الخطيب وثبت اسمه في عائد الصلة لابن الخطيب الأندلسي بما نصه: الشيخ الأستاذ القاضي يكنى أبا محمد كان رحمه الله من أهل العلم بالفقه والقيام على الأصلين صحيح الباطن سليم الصدر من أهل الدين والأصالة. بث في الأندلس علم أصول الفقه وانتفع به وتصرف في القضاء في جهات.</w:t>
      </w:r>
    </w:p>
    <w:p/>
    <w:p>
      <w:pPr/>
      <w:r>
        <w:rPr/>
        <w:t xml:space="preserve">قرأ على أبي علي ناصر الدين المشذالي وغيره من العلماء وألف: المعاني المبتكرة الفكرية في ترتيب المعالم الفقهية والإيجاز في دلالة المجاز ونصرة الحق ورد الباغي في مسألة الصدقة ببعض الأضحية والكراس المرسوم بالمباحث البديعة في مقتضى الأمر من الشريعة. توفي في عام ثلاثة وعشرين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2026-07-29T06:21:47+03:00</dcterms:created>
  <dcterms:modified xsi:type="dcterms:W3CDTF">2026-07-29T06:21:47+03:00</dcterms:modified>
</cp:coreProperties>
</file>

<file path=docProps/custom.xml><?xml version="1.0" encoding="utf-8"?>
<Properties xmlns="http://schemas.openxmlformats.org/officeDocument/2006/custom-properties" xmlns:vt="http://schemas.openxmlformats.org/officeDocument/2006/docPropsVTypes"/>
</file>