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حماد بن إسحاق
</w:t>
      </w:r>
    </w:p>
    <w:p>
      <w:pPr>
        <w:jc w:val="start"/>
        <w:bidi/>
      </w:pPr>
      <w:r>
        <w:rPr>
          <w:rFonts w:ascii="arial" w:hAnsi="arial" w:eastAsia="arial" w:cs="arial"/>
          <w:sz w:val="28"/>
          <w:szCs w:val="28"/>
          <w:b w:val="1"/>
          <w:bCs w:val="1"/>
          <w:rtl/>
        </w:rPr>
        <w:t xml:space="preserve">إبراهيم بن حماد بن إسحاق
</w:t>
      </w:r>
    </w:p>
    <w:p>
      <w:pPr/>
      <w:r>
        <w:rPr/>
        <w:t xml:space="preserve">إبراهيم بن حماد بن إسحاق بن أخي إسماعيل بن إسحاق كنيته أبو إسحاق تفقه بإسماعيل: عمه وروى كتبه وروى عن أبيه حماد ومحمد بن يحيى الخيشي والعباس بن مزيد وزيد بن أخرم والرمادي وجعفر الفريابي وأبي الطاهر وأبي قلابة وأبي إبراهيم الزهري وابن منيع وجماعة غيرهم روى عنه أبو بكر الأبهري وابن الجهم وأبو الحسن الدارقطني وأبو حفص بن شاهين وغيرهم. وألف: اتفاق الحسن ومالك وكان ثقة صدوقا فاضلا. توفي في محرم سنة ثلاث وعشرين وثلاثمائة وقيل: أول صفر - وقد زاد على اثنين وثمانين سنة: شهورا ودفن إلى جانب قبر عمه إسماعيل. ومولده سنة إحدى وأربعين وقيل في رجب سنة أربعين وقيل: إن وفاته سنة تسع وعشرين.</w:t>
      </w:r>
    </w:p>
    <w:p>
      <w:pPr>
        <w:jc w:val="start"/>
        <w:bidi/>
      </w:pPr>
      <w:r>
        <w:rPr>
          <w:sz w:val="24"/>
          <w:szCs w:val="24"/>
          <w:b w:val="1"/>
          <w:bCs w:val="1"/>
          <w:rtl/>
        </w:rPr>
        <w:t xml:space="preserve">
الديباج المذهب في معرفة أعيان علماء المذهب،(دار التراث للطبع والنشر - القاهرة،2005،ط 1،ج 1،ص 261)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2026-07-28T23:43:42+03:00</dcterms:created>
  <dcterms:modified xsi:type="dcterms:W3CDTF">2026-07-28T23:43:42+03:00</dcterms:modified>
</cp:coreProperties>
</file>

<file path=docProps/custom.xml><?xml version="1.0" encoding="utf-8"?>
<Properties xmlns="http://schemas.openxmlformats.org/officeDocument/2006/custom-properties" xmlns:vt="http://schemas.openxmlformats.org/officeDocument/2006/docPropsVTypes"/>
</file>