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عبد الله بن محمد بن محمد بن محمد بن حامد
</w:t>
      </w:r>
    </w:p>
    <w:p>
      <w:pPr>
        <w:jc w:val="start"/>
        <w:bidi/>
      </w:pPr>
      <w:r>
        <w:rPr>
          <w:rFonts w:ascii="arial" w:hAnsi="arial" w:eastAsia="arial" w:cs="arial"/>
          <w:sz w:val="28"/>
          <w:szCs w:val="28"/>
          <w:b w:val="1"/>
          <w:bCs w:val="1"/>
          <w:rtl/>
        </w:rPr>
        <w:t xml:space="preserve">أحمد بن إسماعيل بن عبد الله بن محمد بن محمد بن محمد بن حامد
</w:t>
      </w:r>
    </w:p>
    <w:p>
      <w:pPr/>
      <w:r>
        <w:rPr/>
        <w:t xml:space="preserve">أحمد بن إسماعيل بن عبد الله بن محمد بن محمد بن محمد بن حامد البغدادي مولدا الأصبهاني تأصلا الملقب شمس الدين المعروف بالمقري كان فقيها متفننا له منسك في الحج وله في العربية عقد الدرر ونظم عوامل الجرجاني وكتاب في التاريخ وديوان في مدح النبي صلى الله عليه وسلم - وله غير ذلك من التآليف.</w:t>
      </w:r>
    </w:p>
    <w:p>
      <w:pPr>
        <w:jc w:val="start"/>
        <w:bidi/>
      </w:pPr>
      <w:r>
        <w:rPr>
          <w:sz w:val="24"/>
          <w:szCs w:val="24"/>
          <w:b w:val="1"/>
          <w:bCs w:val="1"/>
          <w:rtl/>
        </w:rPr>
        <w:t xml:space="preserve">
الديباج المذهب في معرفة أعيان علماء المذهب،(دار التراث للطبع والنشر - القاهرة،2005،ط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2026-07-29T00:19:20+03:00</dcterms:created>
  <dcterms:modified xsi:type="dcterms:W3CDTF">2026-07-29T00:19:20+03:00</dcterms:modified>
</cp:coreProperties>
</file>

<file path=docProps/custom.xml><?xml version="1.0" encoding="utf-8"?>
<Properties xmlns="http://schemas.openxmlformats.org/officeDocument/2006/custom-properties" xmlns:vt="http://schemas.openxmlformats.org/officeDocument/2006/docPropsVTypes"/>
</file>