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الحسين بن علي الزيات الكلاعي
</w:t>
      </w:r>
    </w:p>
    <w:p>
      <w:pPr>
        <w:jc w:val="start"/>
        <w:bidi/>
      </w:pPr>
      <w:r>
        <w:rPr>
          <w:rFonts w:ascii="arial" w:hAnsi="arial" w:eastAsia="arial" w:cs="arial"/>
          <w:sz w:val="28"/>
          <w:szCs w:val="28"/>
          <w:b w:val="1"/>
          <w:bCs w:val="1"/>
          <w:rtl/>
        </w:rPr>
        <w:t xml:space="preserve">أحمد بن الحسين بن علي الزيات الكلاعي
</w:t>
      </w:r>
    </w:p>
    <w:p>
      <w:pPr/>
      <w:r>
        <w:rPr/>
        <w:t xml:space="preserve">أحمد بن الحسين بن علي الزيات الكلاعي من أهل بلش مالقة يكنى أبا جعفر ويعرف بابن الزيات الخطيب المتصوف الشهير.</w:t>
      </w:r>
    </w:p>
    <w:p/>
    <w:p>
      <w:pPr/>
      <w:r>
        <w:rPr/>
        <w:t xml:space="preserve">كان جليل القدر عظيم الوقار كثير العبادة حسن الخلق والخلق كثير الغاشية صبورا على الإفادة واضح البيان فارس المنابر إلى التفنن في كثير من المآخذ العلمية والرياسة في تجويد القرآن والمشاركة في الفقه والعربية والعروض والمماسة في الأصلين والحفظ للتفسير والخوض في الأدب.</w:t>
      </w:r>
    </w:p>
    <w:p/>
    <w:p>
      <w:pPr/>
      <w:r>
        <w:rPr/>
        <w:t xml:space="preserve">تحمل العلم عن جملة منهم: خاله أبو جعفر: أحمد بن علي المذجحي وأبو علي الحسين بن علي الأحوص الفهري والخطيب العارف الرباني أبو الحسن: فضل بن فضيلة المعافري: أخذ عنه طريق الصوفية.</w:t>
      </w:r>
    </w:p>
    <w:p/>
    <w:p>
      <w:pPr/>
      <w:r>
        <w:rPr/>
        <w:t xml:space="preserve">ومنهم: أبو الفضل: عياض بن موسى وأبو جعفر بن الزبير وأبو جعفر بن الطباع والأستاذ النحوي أبو الحسن بن الصائغ والإمام أبو إسحاق الغافقي وغيرهم. وتصانيفه كثيرة منها: تخليص الدلالة في تلخيص الرسالة وقصيدته المسماة بالمقام المخزون في الكلام الموزون والعقيدة المسماة بالمشرب الأصفى في المأرب الأوفى وكلاهما ينيف على الألف بيت ونظم السلوك في شيم الملوك والمجتبى النضير والمقتنى الخطير والعبارة الوجيزة على الإشارة العزيزة واللطائف الروحانية والعوارف الربانية ومنها أس مبنى العلم ورأس معنى الحلم في مقدمات علم الكلام ولذات المستمع في القراءات السبع نظما ورصف نفاس اللآلئ ووصف عرائس المعالي في النحو وقاعدة البيان وضابطة اللسان في العربية ولهجة اللافظ وبهجة الحافظ والأرجوزة المسماة بقرة عين السائل وبغية نفس الآمل في اختصار السيرة النبوية والوصايا النظامية في القوافي الثلاثية وكتاب عدة الداعي وعمدة الواعي وكتاب عوارف الكرم وصلات الإحسان في التعريف بما حواه لطيف الحكم من خلق الإنسان وكتاب جوامع الآثار والغايات في صوادع العبر والآيات والصفحة الوسيمة والمنحة الجسيمة تشتمل على أربع قواعد: اعتقادية وأصولية وفروعية وتحقيقية وكتاب شرف المهارق في اختصار كتاب المشارق وشذور الذهب في صدور الخطب وفائدة الملتقط وعائدة المغتبط وكتاب عودة المحق وتحفة المستحق. مولده في حدود تسع وأربعين وستمائة وتوفي في عام ثمانية وعشرين وسبعمائة رحمه الله تعالى ورضي عنه.</w:t>
      </w:r>
    </w:p>
    <w:p>
      <w:pPr>
        <w:jc w:val="start"/>
        <w:bidi/>
      </w:pPr>
      <w:r>
        <w:rPr>
          <w:sz w:val="24"/>
          <w:szCs w:val="24"/>
          <w:b w:val="1"/>
          <w:bCs w:val="1"/>
          <w:rtl/>
        </w:rPr>
        <w:t xml:space="preserve">
الديباج المذهب في معرفة أعيان علماء المذهب،(دار التراث للطبع والنشر - القاهرة،2005،ط 1،ج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2026-07-29T01:42:59+03:00</dcterms:created>
  <dcterms:modified xsi:type="dcterms:W3CDTF">2026-07-29T01:42:59+03:00</dcterms:modified>
</cp:coreProperties>
</file>

<file path=docProps/custom.xml><?xml version="1.0" encoding="utf-8"?>
<Properties xmlns="http://schemas.openxmlformats.org/officeDocument/2006/custom-properties" xmlns:vt="http://schemas.openxmlformats.org/officeDocument/2006/docPropsVTypes"/>
</file>