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عثمان بن مسعود بن عثمان بن علي الحراني
</w:t>
      </w:r>
    </w:p>
    <w:p>
      <w:pPr>
        <w:jc w:val="start"/>
        <w:bidi/>
      </w:pPr>
      <w:r>
        <w:rPr>
          <w:rFonts w:ascii="arial" w:hAnsi="arial" w:eastAsia="arial" w:cs="arial"/>
          <w:sz w:val="28"/>
          <w:szCs w:val="28"/>
          <w:b w:val="1"/>
          <w:bCs w:val="1"/>
          <w:rtl/>
        </w:rPr>
        <w:t xml:space="preserve">مسعود بن عثمان بن مسعود بن عثمان بن علي الحراني
</w:t>
      </w:r>
    </w:p>
    <w:p>
      <w:pPr/>
      <w:r>
        <w:rPr/>
        <w:t xml:space="preserve">مسعود بن عثمان بن مسعود بن عثمان بن علي الحراني مسعود بن عثمان بن مسعود بن عثمان بن علي الحراني سعد الدين النشوي ابن صلاح الدين سمع من عبد الغني بن سليمان بن بنين جزء البطاقة ومن النجيب الحراني جزء ابن عرفة وحدث ذكره ابن رافع في معجمه وحدث عنه بالإجازة وقال ولد بعد الخمسين وستمائة ومات سنة...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عثمان الحراني الصوفي النسائي.
</w:t>
      </w:r>
    </w:p>
    <w:p>
      <w:pPr/>
      <w:r>
        <w:rPr/>
        <w:t xml:space="preserve">مسعود بن عثمان الحراني الصوفي النسائي. </w:t>
      </w:r>
    </w:p>
    <w:p/>
    <w:p/>
    <w:p>
      <w:pPr/>
      <w:r>
        <w:rPr/>
        <w:t xml:space="preserve">عرف بابن الصلاح.</w:t>
      </w:r>
    </w:p>
    <w:p/>
    <w:p/>
    <w:p>
      <w:pPr/>
      <w:r>
        <w:rPr/>
        <w:t xml:space="preserve">مولده سنة 652 أخذ عنه ابن جابر ولم يذكر وفاته.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2026-07-28T18:06:23+03:00</dcterms:created>
  <dcterms:modified xsi:type="dcterms:W3CDTF">2026-07-28T18:06:23+03:00</dcterms:modified>
</cp:coreProperties>
</file>

<file path=docProps/custom.xml><?xml version="1.0" encoding="utf-8"?>
<Properties xmlns="http://schemas.openxmlformats.org/officeDocument/2006/custom-properties" xmlns:vt="http://schemas.openxmlformats.org/officeDocument/2006/docPropsVTypes"/>
</file>