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عبد السلام بن عثمان تقي الدين
</w:t>
      </w:r>
    </w:p>
    <w:p>
      <w:pPr>
        <w:jc w:val="start"/>
        <w:bidi/>
      </w:pPr>
      <w:r>
        <w:rPr>
          <w:rFonts w:ascii="arial" w:hAnsi="arial" w:eastAsia="arial" w:cs="arial"/>
          <w:sz w:val="28"/>
          <w:szCs w:val="28"/>
          <w:b w:val="1"/>
          <w:bCs w:val="1"/>
          <w:rtl/>
        </w:rPr>
        <w:t xml:space="preserve">محمود بن محمد بن عبد السلام بن عثمان تقي الدين
</w:t>
      </w:r>
    </w:p>
    <w:p>
      <w:pPr/>
      <w:r>
        <w:rPr/>
        <w:t xml:space="preserve">محمود بن محمد بن عبد السلام بن عثمان تقي الدين محمود بن محمد بن عبد السلام بن عثمان تقي الدين القيسي الحنفي قاضي حماة الشهير بابن الحكيم سمع من الحجار وحدث عنه وولي قضاءها مرتين وطالت مدته وكان حسن السيرة مات في ذي القعدة سنة 760 وله سبع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2026-07-28T13:26:37+03:00</dcterms:created>
  <dcterms:modified xsi:type="dcterms:W3CDTF">2026-07-28T13:26:37+03:00</dcterms:modified>
</cp:coreProperties>
</file>

<file path=docProps/custom.xml><?xml version="1.0" encoding="utf-8"?>
<Properties xmlns="http://schemas.openxmlformats.org/officeDocument/2006/custom-properties" xmlns:vt="http://schemas.openxmlformats.org/officeDocument/2006/docPropsVTypes"/>
</file>