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المنجا بن محمد بن عثمان بن أسعد بن محمد
</w:t>
      </w:r>
    </w:p>
    <w:p>
      <w:pPr>
        <w:jc w:val="start"/>
        <w:bidi/>
      </w:pPr>
      <w:r>
        <w:rPr>
          <w:rFonts w:ascii="arial" w:hAnsi="arial" w:eastAsia="arial" w:cs="arial"/>
          <w:sz w:val="28"/>
          <w:szCs w:val="28"/>
          <w:b w:val="1"/>
          <w:bCs w:val="1"/>
          <w:rtl/>
        </w:rPr>
        <w:t xml:space="preserve">محمد بن محمد بن المنجا بن محمد بن عثمان بن أسعد بن محمد
</w:t>
      </w:r>
    </w:p>
    <w:p>
      <w:pPr/>
      <w:r>
        <w:rPr/>
        <w:t xml:space="preserve">محمد بن محمد بن المنجا بن محمد بن عثمان بن أسعد بن محمد محمد بن محمد بن المنجا بن محمد بن عثمان بن أسعد بن محمد بن المنجا التنوخي صلاح الدين أبو البركات ابن الشيخ شرف الدين ابن العلامة زين الدين أبي البركات المنجا ولد سنة بضع عشرة وسمع من ابن الشحنة وحفظ المحرر واشتغل ودرس بالمسمارية والصدرية وناب في الحكم وكان شكلا حسنا محتشما رئيسا وصفه ابن كثير بالسنة والدين والصيانة وكان تزوج بنت القاضي تقي الدين السبكي ومات في ربيع الآخر سنة 770 وقد جاوز الخمسين وقرر في وظائفه بعده ولده علاء الدين وهو ابن عشرين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2026-07-29T03:23:44+03:00</dcterms:created>
  <dcterms:modified xsi:type="dcterms:W3CDTF">2026-07-29T03:23:44+03:00</dcterms:modified>
</cp:coreProperties>
</file>

<file path=docProps/custom.xml><?xml version="1.0" encoding="utf-8"?>
<Properties xmlns="http://schemas.openxmlformats.org/officeDocument/2006/custom-properties" xmlns:vt="http://schemas.openxmlformats.org/officeDocument/2006/docPropsVTypes"/>
</file>